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33AC" w14:textId="37C36673"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6B08C344" w:rsidR="00EA2383" w:rsidRDefault="00EA2383" w:rsidP="00EA2383">
      <w:pPr>
        <w:spacing w:after="0"/>
      </w:pPr>
      <w:r>
        <w:t>REGULAR MEETING                                                                  </w:t>
      </w:r>
      <w:r w:rsidR="006D56B7">
        <w:t xml:space="preserve">       </w:t>
      </w:r>
      <w:r w:rsidR="008D3100">
        <w:t xml:space="preserve">    </w:t>
      </w:r>
      <w:r w:rsidR="00F85B61">
        <w:t xml:space="preserve">  </w:t>
      </w:r>
      <w:r w:rsidR="00C567E7">
        <w:t xml:space="preserve">  </w:t>
      </w:r>
      <w:r w:rsidR="00F374AD">
        <w:t>January</w:t>
      </w:r>
      <w:r w:rsidR="00C155E6">
        <w:t xml:space="preserve"> </w:t>
      </w:r>
      <w:r w:rsidR="00F16319">
        <w:t>2</w:t>
      </w:r>
      <w:r w:rsidR="00216038">
        <w:t>2</w:t>
      </w:r>
      <w:r w:rsidR="00B41340">
        <w:t>,</w:t>
      </w:r>
      <w:r w:rsidR="00C2605A">
        <w:t xml:space="preserve"> 20</w:t>
      </w:r>
      <w:r w:rsidR="00935A83">
        <w:t>2</w:t>
      </w:r>
      <w:r w:rsidR="00216038">
        <w:t>5</w:t>
      </w:r>
    </w:p>
    <w:p w14:paraId="37849E9C" w14:textId="77777777" w:rsidR="002217C1" w:rsidRDefault="002217C1" w:rsidP="001D3EED">
      <w:pPr>
        <w:spacing w:after="0"/>
      </w:pPr>
    </w:p>
    <w:p w14:paraId="2292E9DD" w14:textId="3E548B05" w:rsidR="00275210" w:rsidRDefault="00413041" w:rsidP="00A3231E">
      <w:pPr>
        <w:spacing w:after="0"/>
      </w:pPr>
      <w:r>
        <w:t xml:space="preserve">MEMBERS PRESENT:  </w:t>
      </w:r>
      <w:r w:rsidR="002217C1">
        <w:t>Dennis Wertz</w:t>
      </w:r>
      <w:r w:rsidR="000F0751">
        <w:t>,</w:t>
      </w:r>
      <w:r w:rsidR="00AA133D">
        <w:t xml:space="preserve"> </w:t>
      </w:r>
      <w:r w:rsidR="00872074">
        <w:t>John Hoover,</w:t>
      </w:r>
      <w:r w:rsidR="00A56CD6">
        <w:t xml:space="preserve"> </w:t>
      </w:r>
      <w:r w:rsidR="00A3231E">
        <w:t xml:space="preserve">and </w:t>
      </w:r>
      <w:r w:rsidR="00E41D51">
        <w:t>Terry Blomquist</w:t>
      </w:r>
    </w:p>
    <w:p w14:paraId="5259A914" w14:textId="77777777" w:rsidR="005E673E" w:rsidRDefault="005E673E" w:rsidP="0090475B">
      <w:pPr>
        <w:spacing w:after="0"/>
      </w:pPr>
    </w:p>
    <w:p w14:paraId="4E4A0771" w14:textId="1E926768" w:rsidR="001D3E41" w:rsidRDefault="001115E0" w:rsidP="001D3E41">
      <w:pPr>
        <w:spacing w:after="0"/>
      </w:pPr>
      <w:r>
        <w:t xml:space="preserve">OTHERS PRESENT:   </w:t>
      </w:r>
      <w:r w:rsidR="00524A8C">
        <w:t xml:space="preserve">Brian L. Sweitzer, </w:t>
      </w:r>
      <w:r w:rsidR="00D53872">
        <w:t>Manager</w:t>
      </w:r>
      <w:r w:rsidR="00524A8C">
        <w:t xml:space="preserve">; </w:t>
      </w:r>
      <w:r w:rsidR="00F374AD">
        <w:t>Jeffrey</w:t>
      </w:r>
      <w:r w:rsidR="00652058">
        <w:t xml:space="preserve"> L.</w:t>
      </w:r>
      <w:r w:rsidR="00F374AD">
        <w:t xml:space="preserve"> Rehmeyer, II,</w:t>
      </w:r>
      <w:r w:rsidR="00DF5619">
        <w:t xml:space="preserve"> Esq.</w:t>
      </w:r>
      <w:r w:rsidR="001D3E41">
        <w:t xml:space="preserve">; </w:t>
      </w:r>
    </w:p>
    <w:p w14:paraId="77774155" w14:textId="37D0D119" w:rsidR="003019AB" w:rsidRDefault="001D3E41" w:rsidP="001D3E41">
      <w:pPr>
        <w:spacing w:after="0"/>
        <w:ind w:left="2160"/>
      </w:pPr>
      <w:r>
        <w:t xml:space="preserve">      </w:t>
      </w:r>
      <w:r w:rsidR="003019AB">
        <w:t xml:space="preserve"> </w:t>
      </w:r>
      <w:r w:rsidR="00752744">
        <w:t>Jason Brenneman, P.E.;</w:t>
      </w:r>
      <w:r w:rsidR="00F80AB6">
        <w:t xml:space="preserve"> and</w:t>
      </w:r>
      <w:r w:rsidR="00173076">
        <w:t xml:space="preserve"> </w:t>
      </w:r>
      <w:r w:rsidR="003019AB">
        <w:t>David Pergrin</w:t>
      </w:r>
    </w:p>
    <w:p w14:paraId="063FC64F" w14:textId="44AA38CE" w:rsidR="00D92219" w:rsidRDefault="00935A83" w:rsidP="00EA2383">
      <w:pPr>
        <w:spacing w:after="0"/>
      </w:pPr>
      <w:r>
        <w:tab/>
      </w:r>
      <w:r>
        <w:tab/>
      </w:r>
      <w:r>
        <w:tab/>
        <w:t xml:space="preserve">      </w:t>
      </w:r>
      <w:r w:rsidR="009E6882">
        <w:tab/>
      </w:r>
      <w:r w:rsidR="009E6882">
        <w:tab/>
      </w:r>
      <w:r w:rsidR="009E6882">
        <w:tab/>
        <w:t xml:space="preserve">  </w:t>
      </w:r>
      <w:r w:rsidR="00316C24">
        <w:t xml:space="preserve">    </w:t>
      </w:r>
      <w:r w:rsidR="007F305E">
        <w:t xml:space="preserve"> </w:t>
      </w:r>
      <w:r w:rsidR="00D92219">
        <w:tab/>
      </w:r>
      <w:r w:rsidR="00D92219">
        <w:tab/>
      </w:r>
      <w:r w:rsidR="00D92219">
        <w:tab/>
        <w:t xml:space="preserve"> </w:t>
      </w:r>
    </w:p>
    <w:p w14:paraId="57A7721B" w14:textId="39C653E8" w:rsidR="001F7AB8" w:rsidRDefault="00EA2383" w:rsidP="00EA2383">
      <w:pPr>
        <w:spacing w:after="0"/>
      </w:pPr>
      <w:r>
        <w:t>A regular meeting of the Municipal Authori</w:t>
      </w:r>
      <w:r w:rsidR="007F305E">
        <w:t>ty convened at 7:</w:t>
      </w:r>
      <w:r w:rsidR="00CE433D">
        <w:t>0</w:t>
      </w:r>
      <w:r w:rsidR="005E673E">
        <w:t>0</w:t>
      </w:r>
      <w:r>
        <w:t xml:space="preserve"> p.m.</w:t>
      </w:r>
      <w:r w:rsidR="00B77E75">
        <w:t xml:space="preserve"> </w:t>
      </w:r>
      <w:r w:rsidR="00EE55F5">
        <w:t>with</w:t>
      </w:r>
      <w:r w:rsidR="00925B5A">
        <w:t xml:space="preserve"> </w:t>
      </w:r>
      <w:r w:rsidR="00E41D51">
        <w:t xml:space="preserve">Chairman </w:t>
      </w:r>
      <w:r w:rsidR="0053370B">
        <w:t>Blomquist</w:t>
      </w:r>
      <w:r w:rsidR="00D450D8">
        <w:t xml:space="preserve"> </w:t>
      </w:r>
      <w:r>
        <w:t>presiding.</w:t>
      </w:r>
    </w:p>
    <w:p w14:paraId="6E324E0F" w14:textId="77777777" w:rsidR="001D3E41" w:rsidRDefault="001D3E41" w:rsidP="00EA2383">
      <w:pPr>
        <w:spacing w:after="0"/>
      </w:pPr>
    </w:p>
    <w:p w14:paraId="3FE5718C" w14:textId="61CB3BD0" w:rsidR="008561A4" w:rsidRDefault="008561A4" w:rsidP="00EA2383">
      <w:pPr>
        <w:spacing w:after="0"/>
      </w:pPr>
      <w:r>
        <w:rPr>
          <w:b/>
          <w:bCs/>
          <w:u w:val="single"/>
        </w:rPr>
        <w:t>REORGANIZATION</w:t>
      </w:r>
    </w:p>
    <w:p w14:paraId="5B06C471" w14:textId="77777777" w:rsidR="008561A4" w:rsidRDefault="008561A4" w:rsidP="00EA2383">
      <w:pPr>
        <w:spacing w:after="0"/>
      </w:pPr>
    </w:p>
    <w:p w14:paraId="453B1A93" w14:textId="05F1CA99" w:rsidR="00433004" w:rsidRDefault="00433004" w:rsidP="00EA2383">
      <w:pPr>
        <w:spacing w:after="0"/>
      </w:pPr>
      <w:r>
        <w:t xml:space="preserve">The </w:t>
      </w:r>
      <w:r w:rsidR="00F80AB6">
        <w:t>2024</w:t>
      </w:r>
      <w:r>
        <w:t xml:space="preserve"> officers </w:t>
      </w:r>
      <w:r w:rsidR="00F80AB6">
        <w:t>were</w:t>
      </w:r>
      <w:r>
        <w:t>:</w:t>
      </w:r>
    </w:p>
    <w:p w14:paraId="2C59C2D3" w14:textId="616C301B" w:rsidR="00433004" w:rsidRDefault="00433004" w:rsidP="00433004">
      <w:pPr>
        <w:spacing w:after="0"/>
        <w:ind w:firstLine="720"/>
      </w:pPr>
      <w:r>
        <w:t>Chairman</w:t>
      </w:r>
      <w:r>
        <w:tab/>
      </w:r>
      <w:r>
        <w:tab/>
      </w:r>
      <w:r>
        <w:tab/>
        <w:t>Terrence Blomquist</w:t>
      </w:r>
    </w:p>
    <w:p w14:paraId="22EFED37" w14:textId="46314DDA" w:rsidR="00433004" w:rsidRDefault="00433004" w:rsidP="00433004">
      <w:pPr>
        <w:spacing w:after="0"/>
        <w:ind w:firstLine="720"/>
      </w:pPr>
      <w:r>
        <w:t>Vice Chairman</w:t>
      </w:r>
      <w:r>
        <w:tab/>
      </w:r>
      <w:r>
        <w:tab/>
        <w:t>Dennis Wertz</w:t>
      </w:r>
    </w:p>
    <w:p w14:paraId="3256EBC5" w14:textId="38523777" w:rsidR="00433004" w:rsidRDefault="00433004" w:rsidP="00433004">
      <w:pPr>
        <w:spacing w:after="0"/>
        <w:ind w:firstLine="720"/>
      </w:pPr>
      <w:r>
        <w:t>Secretary</w:t>
      </w:r>
      <w:r>
        <w:tab/>
      </w:r>
      <w:r>
        <w:tab/>
      </w:r>
      <w:r>
        <w:tab/>
        <w:t>Andrew Campbell</w:t>
      </w:r>
    </w:p>
    <w:p w14:paraId="78CCF565" w14:textId="5A3A2C1D" w:rsidR="00433004" w:rsidRDefault="00433004" w:rsidP="00433004">
      <w:pPr>
        <w:spacing w:after="0"/>
        <w:ind w:firstLine="720"/>
      </w:pPr>
      <w:r>
        <w:t>Treasurer</w:t>
      </w:r>
      <w:r>
        <w:tab/>
      </w:r>
      <w:r>
        <w:tab/>
      </w:r>
      <w:r>
        <w:tab/>
        <w:t>John Hoover</w:t>
      </w:r>
    </w:p>
    <w:p w14:paraId="1CE05FB0" w14:textId="469059B6" w:rsidR="00433004" w:rsidRDefault="00433004" w:rsidP="00433004">
      <w:pPr>
        <w:spacing w:after="0"/>
        <w:ind w:firstLine="720"/>
      </w:pPr>
      <w:r>
        <w:t>Asst. Sec./Treas</w:t>
      </w:r>
      <w:r>
        <w:tab/>
      </w:r>
      <w:r>
        <w:tab/>
        <w:t>Ted Nadobny</w:t>
      </w:r>
    </w:p>
    <w:p w14:paraId="6DC57D8A" w14:textId="77777777" w:rsidR="00433004" w:rsidRDefault="00433004" w:rsidP="00433004">
      <w:pPr>
        <w:spacing w:after="0"/>
      </w:pPr>
    </w:p>
    <w:p w14:paraId="35EF7683" w14:textId="60FE8F4B" w:rsidR="00433004" w:rsidRDefault="00433004" w:rsidP="00433004">
      <w:pPr>
        <w:spacing w:after="0"/>
      </w:pPr>
      <w:r>
        <w:tab/>
        <w:t>Engineer</w:t>
      </w:r>
      <w:r>
        <w:tab/>
      </w:r>
      <w:r>
        <w:tab/>
      </w:r>
      <w:r>
        <w:tab/>
        <w:t>James R. Holley &amp; Assoc.</w:t>
      </w:r>
    </w:p>
    <w:p w14:paraId="5382A7EC" w14:textId="57040524" w:rsidR="00433004" w:rsidRDefault="00433004" w:rsidP="00433004">
      <w:pPr>
        <w:spacing w:after="0"/>
      </w:pPr>
      <w:r>
        <w:tab/>
        <w:t>Solicitor</w:t>
      </w:r>
      <w:r>
        <w:tab/>
      </w:r>
      <w:r>
        <w:tab/>
      </w:r>
      <w:r>
        <w:tab/>
        <w:t>CGA Law Firm</w:t>
      </w:r>
    </w:p>
    <w:p w14:paraId="713A55B6" w14:textId="77777777" w:rsidR="00433004" w:rsidRDefault="00433004" w:rsidP="00433004">
      <w:pPr>
        <w:spacing w:after="0"/>
        <w:ind w:firstLine="720"/>
      </w:pPr>
    </w:p>
    <w:p w14:paraId="54E44B3F" w14:textId="77777777" w:rsidR="00A3231E" w:rsidRDefault="00A3231E" w:rsidP="00433004">
      <w:pPr>
        <w:spacing w:after="0"/>
      </w:pPr>
      <w:r>
        <w:t>D. Wertz moved that Terrence Blomquist continue as Chairman.</w:t>
      </w:r>
    </w:p>
    <w:p w14:paraId="00B07A88" w14:textId="68A86BC3" w:rsidR="00A3231E" w:rsidRDefault="00A3231E" w:rsidP="00433004">
      <w:pPr>
        <w:spacing w:after="0"/>
      </w:pPr>
      <w:r>
        <w:t>J. Hoover seconded.  The motion carried with all voting in favor.</w:t>
      </w:r>
      <w:r w:rsidR="00433004">
        <w:t xml:space="preserve"> </w:t>
      </w:r>
    </w:p>
    <w:p w14:paraId="38542EB8" w14:textId="77777777" w:rsidR="00A3231E" w:rsidRDefault="00A3231E" w:rsidP="00433004">
      <w:pPr>
        <w:spacing w:after="0"/>
      </w:pPr>
    </w:p>
    <w:p w14:paraId="3A1D4EC6" w14:textId="77777777" w:rsidR="00A3231E" w:rsidRDefault="00A3231E" w:rsidP="00433004">
      <w:pPr>
        <w:spacing w:after="0"/>
      </w:pPr>
      <w:r>
        <w:t xml:space="preserve">J. Hoover then </w:t>
      </w:r>
      <w:r w:rsidR="00433004">
        <w:t xml:space="preserve">moved to </w:t>
      </w:r>
      <w:r w:rsidR="003C3942">
        <w:t>re-elect</w:t>
      </w:r>
      <w:r w:rsidR="00433004">
        <w:t xml:space="preserve"> the same officers as last year</w:t>
      </w:r>
      <w:r>
        <w:t>.</w:t>
      </w:r>
    </w:p>
    <w:p w14:paraId="73A4E894" w14:textId="3C28B002" w:rsidR="00A3231E" w:rsidRDefault="00A3231E" w:rsidP="00433004">
      <w:pPr>
        <w:spacing w:after="0"/>
      </w:pPr>
      <w:r>
        <w:t>D. Wertz seconded.  The motion carried with all voting in favor.</w:t>
      </w:r>
    </w:p>
    <w:p w14:paraId="50C03B91" w14:textId="77777777" w:rsidR="00A3231E" w:rsidRDefault="00A3231E" w:rsidP="00433004">
      <w:pPr>
        <w:spacing w:after="0"/>
      </w:pPr>
    </w:p>
    <w:p w14:paraId="164C8AA1" w14:textId="5ECB7274" w:rsidR="008561A4" w:rsidRDefault="00A3231E" w:rsidP="00433004">
      <w:pPr>
        <w:spacing w:after="0"/>
      </w:pPr>
      <w:r>
        <w:t>T. Blomquist moved</w:t>
      </w:r>
      <w:r w:rsidR="00433004">
        <w:t xml:space="preserve"> to re-appoint James R. Holley &amp; Assoc. as engineer and the CGA Law Firm as solicitor.</w:t>
      </w:r>
    </w:p>
    <w:p w14:paraId="483AE983" w14:textId="499CB916" w:rsidR="00433004" w:rsidRDefault="00A3231E" w:rsidP="00EA2383">
      <w:pPr>
        <w:spacing w:after="0"/>
      </w:pPr>
      <w:r>
        <w:t>J. Hoover</w:t>
      </w:r>
      <w:r w:rsidR="00433004">
        <w:t xml:space="preserve"> seconded.  The motion carried with all voting in favor.</w:t>
      </w:r>
    </w:p>
    <w:p w14:paraId="69DEAAE4" w14:textId="77777777" w:rsidR="008561A4" w:rsidRPr="008561A4" w:rsidRDefault="008561A4" w:rsidP="00EA2383">
      <w:pPr>
        <w:spacing w:after="0"/>
      </w:pPr>
    </w:p>
    <w:p w14:paraId="150B5AB1" w14:textId="77777777" w:rsidR="00DA731A" w:rsidRDefault="00DA731A" w:rsidP="00DA731A">
      <w:pPr>
        <w:spacing w:after="0"/>
      </w:pPr>
      <w:r>
        <w:rPr>
          <w:b/>
          <w:bCs/>
          <w:u w:val="single"/>
        </w:rPr>
        <w:t>APPROVAL OF MINUTES</w:t>
      </w:r>
    </w:p>
    <w:p w14:paraId="6FA2ECF9" w14:textId="77777777" w:rsidR="00DA731A" w:rsidRDefault="00DA731A" w:rsidP="00DA731A">
      <w:pPr>
        <w:spacing w:after="0"/>
      </w:pPr>
    </w:p>
    <w:p w14:paraId="586A00E5" w14:textId="22F8350B" w:rsidR="00DA731A" w:rsidRDefault="00A3231E" w:rsidP="00DA731A">
      <w:pPr>
        <w:spacing w:after="0"/>
      </w:pPr>
      <w:r>
        <w:t>J. Hoover</w:t>
      </w:r>
      <w:r w:rsidR="00135FD2">
        <w:t xml:space="preserve"> </w:t>
      </w:r>
      <w:r w:rsidR="00DA731A">
        <w:t>moved to approve the minutes of the</w:t>
      </w:r>
      <w:r w:rsidR="00FA2E31">
        <w:t xml:space="preserve"> </w:t>
      </w:r>
      <w:r w:rsidR="0014184D">
        <w:t>Nov</w:t>
      </w:r>
      <w:r w:rsidR="003D0F20">
        <w:t>ember 20</w:t>
      </w:r>
      <w:r w:rsidR="00DA731A">
        <w:t>, 202</w:t>
      </w:r>
      <w:r w:rsidR="0014184D">
        <w:t>4</w:t>
      </w:r>
      <w:r w:rsidR="00DA731A">
        <w:t xml:space="preserve"> meeting.</w:t>
      </w:r>
    </w:p>
    <w:p w14:paraId="75B13584" w14:textId="343A5056" w:rsidR="00DA731A" w:rsidRDefault="00A3231E" w:rsidP="00DA731A">
      <w:pPr>
        <w:spacing w:after="0"/>
      </w:pPr>
      <w:r>
        <w:t>D. Wertz</w:t>
      </w:r>
      <w:r w:rsidR="00DA731A">
        <w:t xml:space="preserve"> seconded.  The motion carried with all voting in favor.</w:t>
      </w:r>
    </w:p>
    <w:p w14:paraId="46AF769F" w14:textId="77777777" w:rsidR="00DA731A" w:rsidRDefault="00DA731A" w:rsidP="00EA2383">
      <w:pPr>
        <w:spacing w:after="0"/>
      </w:pPr>
    </w:p>
    <w:p w14:paraId="24B1BC63" w14:textId="7D502398" w:rsidR="00C567E7" w:rsidRPr="003435F7" w:rsidRDefault="00EA2383" w:rsidP="00EA2383">
      <w:pPr>
        <w:spacing w:after="0"/>
        <w:rPr>
          <w:b/>
          <w:bCs/>
          <w:u w:val="single"/>
        </w:rPr>
      </w:pPr>
      <w:r>
        <w:rPr>
          <w:b/>
          <w:bCs/>
          <w:u w:val="single"/>
        </w:rPr>
        <w:t>CITIZEN’S COMMENTS</w:t>
      </w:r>
    </w:p>
    <w:p w14:paraId="5A39AEC4" w14:textId="43D6760E" w:rsidR="00C567E7" w:rsidRDefault="00C567E7" w:rsidP="00EA2383">
      <w:pPr>
        <w:spacing w:after="0"/>
      </w:pPr>
    </w:p>
    <w:p w14:paraId="62CB74C2" w14:textId="76F661AA" w:rsidR="00707103" w:rsidRDefault="00F80AB6" w:rsidP="00EA2383">
      <w:pPr>
        <w:spacing w:after="0"/>
      </w:pPr>
      <w:r>
        <w:lastRenderedPageBreak/>
        <w:t>None were present.</w:t>
      </w:r>
    </w:p>
    <w:p w14:paraId="6DBFFFB3" w14:textId="77777777" w:rsidR="0014184D" w:rsidRPr="003311A6" w:rsidRDefault="0014184D" w:rsidP="00EA2383">
      <w:pPr>
        <w:spacing w:after="0"/>
      </w:pPr>
    </w:p>
    <w:p w14:paraId="5408991D" w14:textId="06E86833" w:rsidR="00EA2383" w:rsidRDefault="00EA2383" w:rsidP="00EA2383">
      <w:pPr>
        <w:spacing w:after="0"/>
      </w:pPr>
      <w:r>
        <w:rPr>
          <w:b/>
          <w:bCs/>
          <w:u w:val="single"/>
        </w:rPr>
        <w:t>EXP</w:t>
      </w:r>
      <w:r w:rsidR="00E66F3C">
        <w:rPr>
          <w:b/>
          <w:bCs/>
          <w:u w:val="single"/>
        </w:rPr>
        <w:t>ENDITURES AND REPORT OF ACCOUNT</w:t>
      </w:r>
      <w:r w:rsidR="00A94B8C">
        <w:rPr>
          <w:b/>
          <w:bCs/>
          <w:u w:val="single"/>
        </w:rPr>
        <w:t>S</w:t>
      </w:r>
    </w:p>
    <w:p w14:paraId="0AD96A1A" w14:textId="77777777" w:rsidR="0014184D" w:rsidRDefault="0014184D" w:rsidP="00EA2383">
      <w:pPr>
        <w:spacing w:after="0"/>
      </w:pPr>
    </w:p>
    <w:p w14:paraId="7530EBD7" w14:textId="6D15746B" w:rsidR="003634C0" w:rsidRDefault="00A3231E" w:rsidP="00EA2383">
      <w:pPr>
        <w:spacing w:after="0"/>
      </w:pPr>
      <w:r>
        <w:t>J. Hoover</w:t>
      </w:r>
      <w:r w:rsidR="003634C0">
        <w:t xml:space="preserve"> moved to approve the</w:t>
      </w:r>
      <w:r w:rsidR="0014184D">
        <w:t xml:space="preserve"> November and</w:t>
      </w:r>
      <w:r w:rsidR="003634C0">
        <w:t xml:space="preserve"> </w:t>
      </w:r>
      <w:r w:rsidR="003D0F20">
        <w:t>Decemb</w:t>
      </w:r>
      <w:r w:rsidR="00CF6714">
        <w:t xml:space="preserve">er </w:t>
      </w:r>
      <w:r w:rsidR="003634C0">
        <w:t>expenditures and report of accounts.</w:t>
      </w:r>
    </w:p>
    <w:p w14:paraId="322EE602" w14:textId="1A11DA56" w:rsidR="003634C0" w:rsidRPr="00935A83" w:rsidRDefault="00A3231E" w:rsidP="00EA2383">
      <w:pPr>
        <w:spacing w:after="0"/>
      </w:pPr>
      <w:r>
        <w:t>T. Blomquist</w:t>
      </w:r>
      <w:r w:rsidR="003634C0">
        <w:t xml:space="preserve"> seconded.  The motion carried with all voting in favor.</w:t>
      </w:r>
    </w:p>
    <w:p w14:paraId="5B5D1722" w14:textId="77777777" w:rsidR="00935A83" w:rsidRDefault="00935A83" w:rsidP="00EA2383">
      <w:pPr>
        <w:spacing w:after="0"/>
      </w:pPr>
    </w:p>
    <w:p w14:paraId="7F73F6B7" w14:textId="77777777" w:rsidR="006A70B1" w:rsidRDefault="00515E69" w:rsidP="00EA2383">
      <w:pPr>
        <w:spacing w:after="0"/>
        <w:rPr>
          <w:bCs/>
        </w:rPr>
      </w:pPr>
      <w:r>
        <w:rPr>
          <w:b/>
          <w:bCs/>
          <w:u w:val="single"/>
        </w:rPr>
        <w:t>BUSINESS</w:t>
      </w:r>
    </w:p>
    <w:p w14:paraId="0B250C65" w14:textId="77777777" w:rsidR="00FE0630" w:rsidRDefault="00FE0630" w:rsidP="00990727">
      <w:pPr>
        <w:spacing w:after="0"/>
        <w:rPr>
          <w:bCs/>
          <w:u w:val="single"/>
        </w:rPr>
      </w:pPr>
    </w:p>
    <w:p w14:paraId="333C7D60" w14:textId="2BE1D5AA" w:rsidR="007A5697" w:rsidRDefault="00D53872" w:rsidP="00990727">
      <w:pPr>
        <w:spacing w:after="0"/>
        <w:rPr>
          <w:bCs/>
        </w:rPr>
      </w:pPr>
      <w:r>
        <w:rPr>
          <w:bCs/>
          <w:u w:val="single"/>
        </w:rPr>
        <w:t>Bulk Water Meter Laracina Development</w:t>
      </w:r>
      <w:r w:rsidR="00133956">
        <w:rPr>
          <w:bCs/>
          <w:u w:val="single"/>
        </w:rPr>
        <w:t>, Corner of E. Tolna Road and Mount Airy Road</w:t>
      </w:r>
    </w:p>
    <w:p w14:paraId="749C8748" w14:textId="77777777" w:rsidR="00D53872" w:rsidRDefault="00D53872" w:rsidP="00990727">
      <w:pPr>
        <w:spacing w:after="0"/>
        <w:rPr>
          <w:bCs/>
        </w:rPr>
      </w:pPr>
    </w:p>
    <w:p w14:paraId="5237DD00" w14:textId="16901A40" w:rsidR="00D53872" w:rsidRDefault="00D53872" w:rsidP="00990727">
      <w:pPr>
        <w:spacing w:after="0"/>
        <w:rPr>
          <w:bCs/>
        </w:rPr>
      </w:pPr>
      <w:r>
        <w:rPr>
          <w:bCs/>
        </w:rPr>
        <w:t>The Developer is still communicating with The York Water Company to see if it will allow a bulk water meter</w:t>
      </w:r>
      <w:r w:rsidR="00133956">
        <w:rPr>
          <w:bCs/>
        </w:rPr>
        <w:t xml:space="preserve"> for the </w:t>
      </w:r>
      <w:proofErr w:type="gramStart"/>
      <w:r w:rsidR="00133956">
        <w:rPr>
          <w:bCs/>
        </w:rPr>
        <w:t>46 unit</w:t>
      </w:r>
      <w:proofErr w:type="gramEnd"/>
      <w:r w:rsidR="00133956">
        <w:rPr>
          <w:bCs/>
        </w:rPr>
        <w:t xml:space="preserve"> age 55+ development</w:t>
      </w:r>
      <w:r>
        <w:rPr>
          <w:bCs/>
        </w:rPr>
        <w:t xml:space="preserve">.  Borough Council discussed </w:t>
      </w:r>
      <w:r w:rsidR="00F80AB6">
        <w:rPr>
          <w:bCs/>
        </w:rPr>
        <w:t>a proposed bulk sewer meter</w:t>
      </w:r>
      <w:r>
        <w:rPr>
          <w:bCs/>
        </w:rPr>
        <w:t xml:space="preserve"> at the December meeting and the consensus was that it did not want to set a precedent of allowing additional EDUs to be gained based on actual usage.  The Township had also sent a letter to a developer in 2019 that</w:t>
      </w:r>
      <w:r w:rsidR="00F80AB6">
        <w:rPr>
          <w:bCs/>
        </w:rPr>
        <w:t>,</w:t>
      </w:r>
      <w:r>
        <w:rPr>
          <w:bCs/>
        </w:rPr>
        <w:t xml:space="preserve"> based on their agreement with the Township, it would not qualify for additional EDUs based on usage.</w:t>
      </w:r>
      <w:r w:rsidR="00A3231E">
        <w:rPr>
          <w:bCs/>
        </w:rPr>
        <w:t xml:space="preserve">  The gallons that comprise an EDU (350 GPD) include consideration for I &amp; I and that there is no guarantee that a pipe that was inspected today could not be leaking the following year.</w:t>
      </w:r>
    </w:p>
    <w:p w14:paraId="2955549A" w14:textId="77777777" w:rsidR="00A3231E" w:rsidRDefault="00A3231E" w:rsidP="00990727">
      <w:pPr>
        <w:spacing w:after="0"/>
        <w:rPr>
          <w:bCs/>
        </w:rPr>
      </w:pPr>
    </w:p>
    <w:p w14:paraId="3BF6D206" w14:textId="35533C50" w:rsidR="001A6ADC" w:rsidRDefault="001A6ADC" w:rsidP="00990727">
      <w:pPr>
        <w:spacing w:after="0"/>
        <w:rPr>
          <w:bCs/>
        </w:rPr>
      </w:pPr>
      <w:r>
        <w:rPr>
          <w:bCs/>
        </w:rPr>
        <w:t>Because work continues on the waste water treatment plant to restore prior capacity, there are a multitude of relationships surrounding sewer capacity, and there will be implications if a request like this were granted, there needs to be more information obtained and more time before a decision could be made.</w:t>
      </w:r>
    </w:p>
    <w:p w14:paraId="34B136DB" w14:textId="77777777" w:rsidR="001A6ADC" w:rsidRDefault="001A6ADC" w:rsidP="00990727">
      <w:pPr>
        <w:spacing w:after="0"/>
        <w:rPr>
          <w:bCs/>
        </w:rPr>
      </w:pPr>
    </w:p>
    <w:p w14:paraId="67136F9C" w14:textId="012E140A" w:rsidR="00A3231E" w:rsidRDefault="00A3231E" w:rsidP="00990727">
      <w:pPr>
        <w:spacing w:after="0"/>
        <w:rPr>
          <w:bCs/>
        </w:rPr>
      </w:pPr>
      <w:r>
        <w:rPr>
          <w:bCs/>
        </w:rPr>
        <w:t>There was discussion about billing and collection of unpaid bills and maintenance of the privately-owned sewer lines in this development</w:t>
      </w:r>
      <w:r w:rsidR="001A6ADC">
        <w:rPr>
          <w:bCs/>
        </w:rPr>
        <w:t xml:space="preserve"> as well as similar types of developments.  If such an arrangement were ever permitted, there would need to be an Agreement prepared to protect the Authority with regard to collection of unpaid bills and maintenance of the lines.</w:t>
      </w:r>
    </w:p>
    <w:p w14:paraId="72FEB629" w14:textId="77777777" w:rsidR="00133956" w:rsidRDefault="00133956" w:rsidP="00990727">
      <w:pPr>
        <w:spacing w:after="0"/>
        <w:rPr>
          <w:bCs/>
        </w:rPr>
      </w:pPr>
    </w:p>
    <w:p w14:paraId="6648C592" w14:textId="295D8540" w:rsidR="00133956" w:rsidRDefault="00133956" w:rsidP="00990727">
      <w:pPr>
        <w:spacing w:after="0"/>
        <w:rPr>
          <w:bCs/>
        </w:rPr>
      </w:pPr>
      <w:r>
        <w:rPr>
          <w:bCs/>
        </w:rPr>
        <w:t xml:space="preserve">The Authority will consider additional information to be supplied by the Developer, but </w:t>
      </w:r>
      <w:r w:rsidR="00436257">
        <w:rPr>
          <w:bCs/>
        </w:rPr>
        <w:t>currently, there are concerns such that the Authority</w:t>
      </w:r>
      <w:r>
        <w:rPr>
          <w:bCs/>
        </w:rPr>
        <w:t xml:space="preserve"> is inclined not to deviate from past practice</w:t>
      </w:r>
      <w:r w:rsidR="00436257">
        <w:rPr>
          <w:bCs/>
        </w:rPr>
        <w:t xml:space="preserve"> and applicable regulations</w:t>
      </w:r>
      <w:r>
        <w:rPr>
          <w:bCs/>
        </w:rPr>
        <w:t xml:space="preserve"> that there</w:t>
      </w:r>
      <w:r w:rsidR="00436257">
        <w:rPr>
          <w:bCs/>
        </w:rPr>
        <w:t xml:space="preserve"> must</w:t>
      </w:r>
      <w:r>
        <w:rPr>
          <w:bCs/>
        </w:rPr>
        <w:t xml:space="preserve"> be one EDU per</w:t>
      </w:r>
      <w:r w:rsidR="00436257">
        <w:rPr>
          <w:bCs/>
        </w:rPr>
        <w:t xml:space="preserve"> one</w:t>
      </w:r>
      <w:r>
        <w:rPr>
          <w:bCs/>
        </w:rPr>
        <w:t xml:space="preserve"> residential use.</w:t>
      </w:r>
    </w:p>
    <w:p w14:paraId="53882B0D" w14:textId="77777777" w:rsidR="00D53872" w:rsidRDefault="00D53872" w:rsidP="00990727">
      <w:pPr>
        <w:spacing w:after="0"/>
        <w:rPr>
          <w:bCs/>
        </w:rPr>
      </w:pPr>
    </w:p>
    <w:p w14:paraId="34261332" w14:textId="3196C2D9" w:rsidR="00A47420" w:rsidRDefault="00A47420" w:rsidP="00990727">
      <w:pPr>
        <w:spacing w:after="0"/>
        <w:rPr>
          <w:bCs/>
        </w:rPr>
      </w:pPr>
      <w:r>
        <w:rPr>
          <w:bCs/>
          <w:u w:val="single"/>
        </w:rPr>
        <w:t>York Water Company Charge for Meter Reads</w:t>
      </w:r>
    </w:p>
    <w:p w14:paraId="2EE3AA8A" w14:textId="77777777" w:rsidR="00A47420" w:rsidRDefault="00A47420" w:rsidP="00990727">
      <w:pPr>
        <w:spacing w:after="0"/>
        <w:rPr>
          <w:bCs/>
        </w:rPr>
      </w:pPr>
    </w:p>
    <w:p w14:paraId="2B22AD57" w14:textId="17338157" w:rsidR="00A47420" w:rsidRDefault="00133956" w:rsidP="00990727">
      <w:pPr>
        <w:spacing w:after="0"/>
        <w:rPr>
          <w:bCs/>
        </w:rPr>
      </w:pPr>
      <w:r>
        <w:rPr>
          <w:bCs/>
        </w:rPr>
        <w:t xml:space="preserve">A meeting was held and the information on the reports has gotten better and the billing clerk is satisfied with the progress.  </w:t>
      </w:r>
      <w:r w:rsidR="00A47420">
        <w:rPr>
          <w:bCs/>
        </w:rPr>
        <w:t>Sol. Rehmeyer</w:t>
      </w:r>
      <w:r>
        <w:rPr>
          <w:bCs/>
        </w:rPr>
        <w:t xml:space="preserve"> reported that the Authority is willing to pay for </w:t>
      </w:r>
      <w:r w:rsidR="004973B5">
        <w:rPr>
          <w:bCs/>
        </w:rPr>
        <w:t>T</w:t>
      </w:r>
      <w:r>
        <w:rPr>
          <w:bCs/>
        </w:rPr>
        <w:t>he</w:t>
      </w:r>
      <w:r w:rsidR="004973B5">
        <w:rPr>
          <w:bCs/>
        </w:rPr>
        <w:t xml:space="preserve"> York</w:t>
      </w:r>
      <w:r>
        <w:rPr>
          <w:bCs/>
        </w:rPr>
        <w:t xml:space="preserve"> Water Compan</w:t>
      </w:r>
      <w:r w:rsidR="00F80AB6">
        <w:rPr>
          <w:bCs/>
        </w:rPr>
        <w:t>y</w:t>
      </w:r>
      <w:r>
        <w:rPr>
          <w:bCs/>
        </w:rPr>
        <w:t xml:space="preserve"> clerk’s time in lieu of paying an amount per</w:t>
      </w:r>
      <w:r w:rsidR="00F80AB6">
        <w:rPr>
          <w:bCs/>
        </w:rPr>
        <w:t xml:space="preserve"> meter</w:t>
      </w:r>
      <w:r>
        <w:rPr>
          <w:bCs/>
        </w:rPr>
        <w:t xml:space="preserve"> read monthly.  He</w:t>
      </w:r>
      <w:r w:rsidR="00A47420">
        <w:rPr>
          <w:bCs/>
        </w:rPr>
        <w:t xml:space="preserve"> is waiting on a response from the attorney for </w:t>
      </w:r>
      <w:r w:rsidR="004973B5">
        <w:rPr>
          <w:bCs/>
        </w:rPr>
        <w:t>T</w:t>
      </w:r>
      <w:r w:rsidR="00A47420">
        <w:rPr>
          <w:bCs/>
        </w:rPr>
        <w:t>he</w:t>
      </w:r>
      <w:r w:rsidR="004973B5">
        <w:rPr>
          <w:bCs/>
        </w:rPr>
        <w:t xml:space="preserve"> York</w:t>
      </w:r>
      <w:r w:rsidR="00A47420">
        <w:rPr>
          <w:bCs/>
        </w:rPr>
        <w:t xml:space="preserve"> Water Company.</w:t>
      </w:r>
      <w:r>
        <w:rPr>
          <w:bCs/>
        </w:rPr>
        <w:t xml:space="preserve">  </w:t>
      </w:r>
      <w:r w:rsidR="004973B5">
        <w:rPr>
          <w:bCs/>
        </w:rPr>
        <w:t xml:space="preserve">It continues to be a concern if The York Water Company bills the Authority for each meter read, and it is also reading the meters and billing the same customers to whom it provides water service, that there </w:t>
      </w:r>
      <w:r w:rsidR="004973B5">
        <w:rPr>
          <w:bCs/>
        </w:rPr>
        <w:lastRenderedPageBreak/>
        <w:t xml:space="preserve">is double billing of those customers for the meter reads.  </w:t>
      </w:r>
      <w:r>
        <w:rPr>
          <w:bCs/>
        </w:rPr>
        <w:t xml:space="preserve">Mgr. Sweitzer was asked to put a cost estimate together as to what the meter assembly installation would cost and the life expectancy of the meters.  If the final answer is that The York Water Company will start charging the Authority per </w:t>
      </w:r>
      <w:r w:rsidR="00F80AB6">
        <w:rPr>
          <w:bCs/>
        </w:rPr>
        <w:t xml:space="preserve">meter </w:t>
      </w:r>
      <w:r>
        <w:rPr>
          <w:bCs/>
        </w:rPr>
        <w:t>read per month, that charge can be included in each affected customer’s quarterly billing</w:t>
      </w:r>
      <w:r w:rsidR="007D1F07">
        <w:rPr>
          <w:bCs/>
        </w:rPr>
        <w:t xml:space="preserve"> as a separate line item</w:t>
      </w:r>
      <w:r>
        <w:rPr>
          <w:bCs/>
        </w:rPr>
        <w:t>.  The York Water Company should be reminded that they are using a right-of-way at their water tank off of South Highland Drive</w:t>
      </w:r>
      <w:r w:rsidR="00F80AB6">
        <w:rPr>
          <w:bCs/>
        </w:rPr>
        <w:t xml:space="preserve"> daily</w:t>
      </w:r>
      <w:r>
        <w:rPr>
          <w:bCs/>
        </w:rPr>
        <w:t xml:space="preserve"> free of charge.</w:t>
      </w:r>
    </w:p>
    <w:p w14:paraId="7AF44D1A" w14:textId="77777777" w:rsidR="00A47420" w:rsidRDefault="00A47420" w:rsidP="00990727">
      <w:pPr>
        <w:spacing w:after="0"/>
        <w:rPr>
          <w:bCs/>
        </w:rPr>
      </w:pPr>
    </w:p>
    <w:p w14:paraId="4CA84FC6" w14:textId="3F38D9C6" w:rsidR="00A47420" w:rsidRDefault="00A47420" w:rsidP="00990727">
      <w:pPr>
        <w:spacing w:after="0"/>
        <w:rPr>
          <w:bCs/>
        </w:rPr>
      </w:pPr>
      <w:r>
        <w:rPr>
          <w:bCs/>
          <w:u w:val="single"/>
        </w:rPr>
        <w:t>Former True Value Property</w:t>
      </w:r>
    </w:p>
    <w:p w14:paraId="4B5D52CF" w14:textId="77777777" w:rsidR="00A47420" w:rsidRDefault="00A47420" w:rsidP="00990727">
      <w:pPr>
        <w:spacing w:after="0"/>
        <w:rPr>
          <w:bCs/>
        </w:rPr>
      </w:pPr>
    </w:p>
    <w:p w14:paraId="3C8BD172" w14:textId="104D9C22" w:rsidR="00A47420" w:rsidRDefault="00A47420" w:rsidP="00990727">
      <w:pPr>
        <w:spacing w:after="0"/>
        <w:rPr>
          <w:bCs/>
        </w:rPr>
      </w:pPr>
      <w:r>
        <w:rPr>
          <w:bCs/>
        </w:rPr>
        <w:t xml:space="preserve">Eng. Brenneman reported that another land development plan was submitted to the Township for multi-use buildings to change the former lumber storage building from indoor storage to </w:t>
      </w:r>
      <w:r w:rsidR="00F80AB6">
        <w:rPr>
          <w:bCs/>
        </w:rPr>
        <w:t xml:space="preserve">a </w:t>
      </w:r>
      <w:r>
        <w:rPr>
          <w:bCs/>
        </w:rPr>
        <w:t>firework store.  Previous uses at the former store building will remain the same (Harbor Freight, Sherwin Williams paint store, a 5,000 sq. ft. retai</w:t>
      </w:r>
      <w:r w:rsidR="00F80AB6">
        <w:rPr>
          <w:bCs/>
        </w:rPr>
        <w:t>l</w:t>
      </w:r>
      <w:r>
        <w:rPr>
          <w:bCs/>
        </w:rPr>
        <w:t xml:space="preserve"> area</w:t>
      </w:r>
      <w:r w:rsidR="00F80AB6">
        <w:rPr>
          <w:bCs/>
        </w:rPr>
        <w:t xml:space="preserve"> and an area for</w:t>
      </w:r>
      <w:r>
        <w:rPr>
          <w:bCs/>
        </w:rPr>
        <w:t xml:space="preserve"> indoor/outdoor </w:t>
      </w:r>
      <w:r w:rsidR="00F80AB6">
        <w:rPr>
          <w:bCs/>
        </w:rPr>
        <w:t>self-</w:t>
      </w:r>
      <w:r>
        <w:rPr>
          <w:bCs/>
        </w:rPr>
        <w:t xml:space="preserve">storage.  </w:t>
      </w:r>
      <w:r w:rsidR="00296202">
        <w:rPr>
          <w:bCs/>
        </w:rPr>
        <w:t xml:space="preserve">There is a potential for four retail uses and the indoor storage area.  The property has five sewer EDUs (three from the Township and two old EDUs from the Borough).  A new sewer connection is proposed for the fireworks store to be in the former lumber building.  Plans were given to </w:t>
      </w:r>
      <w:r w:rsidR="00F80AB6">
        <w:rPr>
          <w:bCs/>
        </w:rPr>
        <w:t>Mgr</w:t>
      </w:r>
      <w:r w:rsidR="00296202">
        <w:rPr>
          <w:bCs/>
        </w:rPr>
        <w:t>. Sweitzer for review.</w:t>
      </w:r>
    </w:p>
    <w:p w14:paraId="53351FBB" w14:textId="77777777" w:rsidR="00133956" w:rsidRDefault="00133956" w:rsidP="00990727">
      <w:pPr>
        <w:spacing w:after="0"/>
        <w:rPr>
          <w:bCs/>
        </w:rPr>
      </w:pPr>
    </w:p>
    <w:p w14:paraId="3B78CC47" w14:textId="2B001309" w:rsidR="00133956" w:rsidRDefault="00133956" w:rsidP="00990727">
      <w:pPr>
        <w:spacing w:after="0"/>
        <w:rPr>
          <w:bCs/>
        </w:rPr>
      </w:pPr>
      <w:r>
        <w:rPr>
          <w:bCs/>
        </w:rPr>
        <w:t xml:space="preserve">T. Blomquist moved to approve the new sewer connection to the former lumber warehouse pending review of the plan </w:t>
      </w:r>
      <w:r w:rsidR="00F80AB6">
        <w:rPr>
          <w:bCs/>
        </w:rPr>
        <w:t>that</w:t>
      </w:r>
      <w:r>
        <w:rPr>
          <w:bCs/>
        </w:rPr>
        <w:t xml:space="preserve"> </w:t>
      </w:r>
      <w:r w:rsidR="00F80AB6">
        <w:rPr>
          <w:bCs/>
        </w:rPr>
        <w:t>includes</w:t>
      </w:r>
      <w:r>
        <w:rPr>
          <w:bCs/>
        </w:rPr>
        <w:t xml:space="preserve"> the Authority’s rules and regulations and communication being made </w:t>
      </w:r>
      <w:r w:rsidR="00F80AB6">
        <w:rPr>
          <w:bCs/>
        </w:rPr>
        <w:t>with</w:t>
      </w:r>
      <w:r>
        <w:rPr>
          <w:bCs/>
        </w:rPr>
        <w:t xml:space="preserve"> Mgr. Sweitzer for inspections of the new connection and line.</w:t>
      </w:r>
    </w:p>
    <w:p w14:paraId="602FD5C7" w14:textId="7B500F13" w:rsidR="00133956" w:rsidRDefault="00133956" w:rsidP="00990727">
      <w:pPr>
        <w:spacing w:after="0"/>
        <w:rPr>
          <w:bCs/>
        </w:rPr>
      </w:pPr>
      <w:r>
        <w:rPr>
          <w:bCs/>
        </w:rPr>
        <w:t>J. Hoover seconded.  The motion carried with all voting in favor.</w:t>
      </w:r>
    </w:p>
    <w:p w14:paraId="0CA36D78" w14:textId="68B3DAD3" w:rsidR="00296202" w:rsidRDefault="00296202" w:rsidP="00990727">
      <w:pPr>
        <w:spacing w:after="0"/>
        <w:rPr>
          <w:bCs/>
        </w:rPr>
      </w:pPr>
      <w:r>
        <w:rPr>
          <w:bCs/>
        </w:rPr>
        <w:tab/>
      </w:r>
      <w:r>
        <w:rPr>
          <w:bCs/>
        </w:rPr>
        <w:tab/>
      </w:r>
    </w:p>
    <w:p w14:paraId="509E0B0A" w14:textId="77777777" w:rsidR="00296202" w:rsidRDefault="00296202" w:rsidP="00296202">
      <w:pPr>
        <w:spacing w:after="0"/>
        <w:rPr>
          <w:bCs/>
        </w:rPr>
      </w:pPr>
      <w:r w:rsidRPr="00296202">
        <w:rPr>
          <w:u w:val="single"/>
        </w:rPr>
        <w:t>Sewer Projects 2025</w:t>
      </w:r>
    </w:p>
    <w:p w14:paraId="413F3A6E" w14:textId="77777777" w:rsidR="00296202" w:rsidRDefault="00296202" w:rsidP="00296202">
      <w:pPr>
        <w:spacing w:after="0"/>
        <w:rPr>
          <w:bCs/>
        </w:rPr>
      </w:pPr>
    </w:p>
    <w:p w14:paraId="3A8C07E3" w14:textId="334D3E3A" w:rsidR="00296202" w:rsidRDefault="00296202" w:rsidP="00296202">
      <w:pPr>
        <w:spacing w:after="0"/>
        <w:rPr>
          <w:bCs/>
        </w:rPr>
      </w:pPr>
      <w:r w:rsidRPr="00296202">
        <w:rPr>
          <w:bCs/>
        </w:rPr>
        <w:t xml:space="preserve">The only projects that are budgeted for 2025 are miscellaneous sewer line leaks and infiltration removal and Deer Creek wet well repairs.  The Forest Lakes interceptor and sewer mains are leaking approximately 30,000-35,000 </w:t>
      </w:r>
      <w:r w:rsidR="00F80AB6">
        <w:rPr>
          <w:bCs/>
        </w:rPr>
        <w:t>g</w:t>
      </w:r>
      <w:r w:rsidRPr="00296202">
        <w:rPr>
          <w:bCs/>
        </w:rPr>
        <w:t xml:space="preserve">allons per </w:t>
      </w:r>
      <w:r w:rsidR="00F80AB6">
        <w:rPr>
          <w:bCs/>
        </w:rPr>
        <w:t>d</w:t>
      </w:r>
      <w:r w:rsidRPr="00296202">
        <w:rPr>
          <w:bCs/>
        </w:rPr>
        <w:t xml:space="preserve">ay.  </w:t>
      </w:r>
      <w:r w:rsidR="00F80AB6">
        <w:rPr>
          <w:bCs/>
        </w:rPr>
        <w:t xml:space="preserve">The </w:t>
      </w:r>
      <w:r w:rsidRPr="00296202">
        <w:rPr>
          <w:bCs/>
        </w:rPr>
        <w:t>P</w:t>
      </w:r>
      <w:r w:rsidR="00F80AB6">
        <w:rPr>
          <w:bCs/>
        </w:rPr>
        <w:t xml:space="preserve">ublic </w:t>
      </w:r>
      <w:r w:rsidRPr="00296202">
        <w:rPr>
          <w:bCs/>
        </w:rPr>
        <w:t>W</w:t>
      </w:r>
      <w:r w:rsidR="00F80AB6">
        <w:rPr>
          <w:bCs/>
        </w:rPr>
        <w:t>orks</w:t>
      </w:r>
      <w:r w:rsidRPr="00296202">
        <w:rPr>
          <w:bCs/>
        </w:rPr>
        <w:t xml:space="preserve"> televising and inspection will be focused on that sewer system.</w:t>
      </w:r>
    </w:p>
    <w:p w14:paraId="53C6B970" w14:textId="77777777" w:rsidR="003B1B56" w:rsidRPr="00296202" w:rsidRDefault="003B1B56" w:rsidP="00296202">
      <w:pPr>
        <w:spacing w:after="0"/>
        <w:rPr>
          <w:bCs/>
        </w:rPr>
      </w:pPr>
    </w:p>
    <w:p w14:paraId="29176C01" w14:textId="77777777" w:rsidR="00296202" w:rsidRPr="00296202" w:rsidRDefault="00296202" w:rsidP="00296202">
      <w:pPr>
        <w:spacing w:after="0"/>
        <w:rPr>
          <w:bCs/>
        </w:rPr>
      </w:pPr>
    </w:p>
    <w:tbl>
      <w:tblPr>
        <w:tblStyle w:val="TableGrid"/>
        <w:tblW w:w="0" w:type="auto"/>
        <w:tblInd w:w="720" w:type="dxa"/>
        <w:tblLook w:val="04A0" w:firstRow="1" w:lastRow="0" w:firstColumn="1" w:lastColumn="0" w:noHBand="0" w:noVBand="1"/>
      </w:tblPr>
      <w:tblGrid>
        <w:gridCol w:w="2765"/>
        <w:gridCol w:w="2270"/>
        <w:gridCol w:w="1897"/>
        <w:gridCol w:w="2425"/>
      </w:tblGrid>
      <w:tr w:rsidR="00296202" w:rsidRPr="00296202" w14:paraId="2C387B04" w14:textId="77777777" w:rsidTr="00296202">
        <w:tc>
          <w:tcPr>
            <w:tcW w:w="2765" w:type="dxa"/>
            <w:tcBorders>
              <w:top w:val="single" w:sz="4" w:space="0" w:color="auto"/>
              <w:left w:val="single" w:sz="4" w:space="0" w:color="auto"/>
              <w:bottom w:val="single" w:sz="4" w:space="0" w:color="auto"/>
              <w:right w:val="single" w:sz="4" w:space="0" w:color="auto"/>
            </w:tcBorders>
            <w:hideMark/>
          </w:tcPr>
          <w:p w14:paraId="0297225B" w14:textId="77777777" w:rsidR="00296202" w:rsidRPr="00296202" w:rsidRDefault="00296202" w:rsidP="00296202">
            <w:pPr>
              <w:rPr>
                <w:b/>
                <w:bCs/>
              </w:rPr>
            </w:pPr>
            <w:r w:rsidRPr="00296202">
              <w:rPr>
                <w:b/>
                <w:bCs/>
              </w:rPr>
              <w:t>FOREST LAKES</w:t>
            </w:r>
          </w:p>
        </w:tc>
        <w:tc>
          <w:tcPr>
            <w:tcW w:w="2270" w:type="dxa"/>
            <w:tcBorders>
              <w:top w:val="single" w:sz="4" w:space="0" w:color="auto"/>
              <w:left w:val="single" w:sz="4" w:space="0" w:color="auto"/>
              <w:bottom w:val="single" w:sz="4" w:space="0" w:color="auto"/>
              <w:right w:val="single" w:sz="4" w:space="0" w:color="auto"/>
            </w:tcBorders>
            <w:hideMark/>
          </w:tcPr>
          <w:p w14:paraId="7B0DB52D" w14:textId="77777777" w:rsidR="00296202" w:rsidRPr="00296202" w:rsidRDefault="00296202" w:rsidP="00296202">
            <w:pPr>
              <w:rPr>
                <w:b/>
                <w:bCs/>
              </w:rPr>
            </w:pPr>
            <w:r w:rsidRPr="00296202">
              <w:rPr>
                <w:b/>
                <w:bCs/>
              </w:rPr>
              <w:t>GALLONS/DAY</w:t>
            </w:r>
          </w:p>
        </w:tc>
        <w:tc>
          <w:tcPr>
            <w:tcW w:w="1620" w:type="dxa"/>
            <w:tcBorders>
              <w:top w:val="single" w:sz="4" w:space="0" w:color="auto"/>
              <w:left w:val="single" w:sz="4" w:space="0" w:color="auto"/>
              <w:bottom w:val="single" w:sz="4" w:space="0" w:color="auto"/>
              <w:right w:val="single" w:sz="4" w:space="0" w:color="auto"/>
            </w:tcBorders>
            <w:hideMark/>
          </w:tcPr>
          <w:p w14:paraId="57EC816D" w14:textId="77777777" w:rsidR="00296202" w:rsidRPr="00296202" w:rsidRDefault="00296202" w:rsidP="00296202">
            <w:pPr>
              <w:rPr>
                <w:b/>
                <w:bCs/>
              </w:rPr>
            </w:pPr>
            <w:r w:rsidRPr="00296202">
              <w:rPr>
                <w:b/>
                <w:bCs/>
              </w:rPr>
              <w:t>HOURS/DAY</w:t>
            </w:r>
          </w:p>
        </w:tc>
        <w:tc>
          <w:tcPr>
            <w:tcW w:w="1975" w:type="dxa"/>
            <w:tcBorders>
              <w:top w:val="single" w:sz="4" w:space="0" w:color="auto"/>
              <w:left w:val="single" w:sz="4" w:space="0" w:color="auto"/>
              <w:bottom w:val="single" w:sz="4" w:space="0" w:color="auto"/>
              <w:right w:val="single" w:sz="4" w:space="0" w:color="auto"/>
            </w:tcBorders>
            <w:hideMark/>
          </w:tcPr>
          <w:p w14:paraId="272E09BE" w14:textId="77777777" w:rsidR="00296202" w:rsidRPr="00296202" w:rsidRDefault="00296202" w:rsidP="00296202">
            <w:pPr>
              <w:rPr>
                <w:b/>
                <w:bCs/>
              </w:rPr>
            </w:pPr>
            <w:r w:rsidRPr="00296202">
              <w:rPr>
                <w:b/>
                <w:bCs/>
              </w:rPr>
              <w:t>PRECIP/MONTH</w:t>
            </w:r>
          </w:p>
        </w:tc>
      </w:tr>
      <w:tr w:rsidR="00296202" w:rsidRPr="00296202" w14:paraId="50B239C6" w14:textId="77777777" w:rsidTr="00296202">
        <w:tc>
          <w:tcPr>
            <w:tcW w:w="2765" w:type="dxa"/>
            <w:tcBorders>
              <w:top w:val="single" w:sz="4" w:space="0" w:color="auto"/>
              <w:left w:val="single" w:sz="4" w:space="0" w:color="auto"/>
              <w:bottom w:val="single" w:sz="4" w:space="0" w:color="auto"/>
              <w:right w:val="single" w:sz="4" w:space="0" w:color="auto"/>
            </w:tcBorders>
            <w:hideMark/>
          </w:tcPr>
          <w:p w14:paraId="0DD41CC0" w14:textId="77777777" w:rsidR="00296202" w:rsidRPr="00296202" w:rsidRDefault="00296202" w:rsidP="00296202">
            <w:pPr>
              <w:rPr>
                <w:b/>
                <w:bCs/>
              </w:rPr>
            </w:pPr>
            <w:r w:rsidRPr="00296202">
              <w:rPr>
                <w:b/>
                <w:bCs/>
              </w:rPr>
              <w:t>2022</w:t>
            </w:r>
          </w:p>
        </w:tc>
        <w:tc>
          <w:tcPr>
            <w:tcW w:w="2270" w:type="dxa"/>
            <w:tcBorders>
              <w:top w:val="single" w:sz="4" w:space="0" w:color="auto"/>
              <w:left w:val="single" w:sz="4" w:space="0" w:color="auto"/>
              <w:bottom w:val="single" w:sz="4" w:space="0" w:color="auto"/>
              <w:right w:val="single" w:sz="4" w:space="0" w:color="auto"/>
            </w:tcBorders>
            <w:hideMark/>
          </w:tcPr>
          <w:p w14:paraId="1D5FB27E" w14:textId="77777777" w:rsidR="00296202" w:rsidRPr="00296202" w:rsidRDefault="00296202" w:rsidP="00296202">
            <w:pPr>
              <w:rPr>
                <w:bCs/>
              </w:rPr>
            </w:pPr>
            <w:r w:rsidRPr="00296202">
              <w:rPr>
                <w:bCs/>
              </w:rPr>
              <w:t>101,691</w:t>
            </w:r>
          </w:p>
        </w:tc>
        <w:tc>
          <w:tcPr>
            <w:tcW w:w="1620" w:type="dxa"/>
            <w:tcBorders>
              <w:top w:val="single" w:sz="4" w:space="0" w:color="auto"/>
              <w:left w:val="single" w:sz="4" w:space="0" w:color="auto"/>
              <w:bottom w:val="single" w:sz="4" w:space="0" w:color="auto"/>
              <w:right w:val="single" w:sz="4" w:space="0" w:color="auto"/>
            </w:tcBorders>
            <w:hideMark/>
          </w:tcPr>
          <w:p w14:paraId="7B4F3CD9" w14:textId="77777777" w:rsidR="00296202" w:rsidRPr="00296202" w:rsidRDefault="00296202" w:rsidP="00296202">
            <w:pPr>
              <w:rPr>
                <w:bCs/>
              </w:rPr>
            </w:pPr>
            <w:r w:rsidRPr="00296202">
              <w:rPr>
                <w:bCs/>
              </w:rPr>
              <w:t>3.29</w:t>
            </w:r>
          </w:p>
        </w:tc>
        <w:tc>
          <w:tcPr>
            <w:tcW w:w="1975" w:type="dxa"/>
            <w:tcBorders>
              <w:top w:val="single" w:sz="4" w:space="0" w:color="auto"/>
              <w:left w:val="single" w:sz="4" w:space="0" w:color="auto"/>
              <w:bottom w:val="single" w:sz="4" w:space="0" w:color="auto"/>
              <w:right w:val="single" w:sz="4" w:space="0" w:color="auto"/>
            </w:tcBorders>
            <w:hideMark/>
          </w:tcPr>
          <w:p w14:paraId="29DE5010" w14:textId="77777777" w:rsidR="00296202" w:rsidRPr="00296202" w:rsidRDefault="00296202" w:rsidP="00296202">
            <w:pPr>
              <w:rPr>
                <w:bCs/>
              </w:rPr>
            </w:pPr>
            <w:r w:rsidRPr="00296202">
              <w:rPr>
                <w:bCs/>
              </w:rPr>
              <w:t>4.81”</w:t>
            </w:r>
          </w:p>
        </w:tc>
      </w:tr>
      <w:tr w:rsidR="00296202" w:rsidRPr="00296202" w14:paraId="7ACC0600" w14:textId="77777777" w:rsidTr="00296202">
        <w:tc>
          <w:tcPr>
            <w:tcW w:w="2765" w:type="dxa"/>
            <w:tcBorders>
              <w:top w:val="single" w:sz="4" w:space="0" w:color="auto"/>
              <w:left w:val="single" w:sz="4" w:space="0" w:color="auto"/>
              <w:bottom w:val="single" w:sz="4" w:space="0" w:color="auto"/>
              <w:right w:val="single" w:sz="4" w:space="0" w:color="auto"/>
            </w:tcBorders>
            <w:hideMark/>
          </w:tcPr>
          <w:p w14:paraId="605F311A" w14:textId="77777777" w:rsidR="00296202" w:rsidRPr="00296202" w:rsidRDefault="00296202" w:rsidP="00296202">
            <w:pPr>
              <w:rPr>
                <w:b/>
                <w:bCs/>
              </w:rPr>
            </w:pPr>
            <w:r w:rsidRPr="00296202">
              <w:rPr>
                <w:b/>
                <w:bCs/>
              </w:rPr>
              <w:t>2023</w:t>
            </w:r>
          </w:p>
        </w:tc>
        <w:tc>
          <w:tcPr>
            <w:tcW w:w="2270" w:type="dxa"/>
            <w:tcBorders>
              <w:top w:val="single" w:sz="4" w:space="0" w:color="auto"/>
              <w:left w:val="single" w:sz="4" w:space="0" w:color="auto"/>
              <w:bottom w:val="single" w:sz="4" w:space="0" w:color="auto"/>
              <w:right w:val="single" w:sz="4" w:space="0" w:color="auto"/>
            </w:tcBorders>
            <w:hideMark/>
          </w:tcPr>
          <w:p w14:paraId="3EEB99EC" w14:textId="77777777" w:rsidR="00296202" w:rsidRPr="00296202" w:rsidRDefault="00296202" w:rsidP="00296202">
            <w:pPr>
              <w:rPr>
                <w:bCs/>
              </w:rPr>
            </w:pPr>
            <w:r w:rsidRPr="00296202">
              <w:rPr>
                <w:bCs/>
              </w:rPr>
              <w:t>102,689</w:t>
            </w:r>
          </w:p>
        </w:tc>
        <w:tc>
          <w:tcPr>
            <w:tcW w:w="1620" w:type="dxa"/>
            <w:tcBorders>
              <w:top w:val="single" w:sz="4" w:space="0" w:color="auto"/>
              <w:left w:val="single" w:sz="4" w:space="0" w:color="auto"/>
              <w:bottom w:val="single" w:sz="4" w:space="0" w:color="auto"/>
              <w:right w:val="single" w:sz="4" w:space="0" w:color="auto"/>
            </w:tcBorders>
            <w:hideMark/>
          </w:tcPr>
          <w:p w14:paraId="6F7CC6A7" w14:textId="77777777" w:rsidR="00296202" w:rsidRPr="00296202" w:rsidRDefault="00296202" w:rsidP="00296202">
            <w:pPr>
              <w:rPr>
                <w:bCs/>
              </w:rPr>
            </w:pPr>
            <w:r w:rsidRPr="00296202">
              <w:rPr>
                <w:bCs/>
              </w:rPr>
              <w:t>3.32</w:t>
            </w:r>
          </w:p>
        </w:tc>
        <w:tc>
          <w:tcPr>
            <w:tcW w:w="1975" w:type="dxa"/>
            <w:tcBorders>
              <w:top w:val="single" w:sz="4" w:space="0" w:color="auto"/>
              <w:left w:val="single" w:sz="4" w:space="0" w:color="auto"/>
              <w:bottom w:val="single" w:sz="4" w:space="0" w:color="auto"/>
              <w:right w:val="single" w:sz="4" w:space="0" w:color="auto"/>
            </w:tcBorders>
            <w:hideMark/>
          </w:tcPr>
          <w:p w14:paraId="20DDDF4B" w14:textId="77777777" w:rsidR="00296202" w:rsidRPr="00296202" w:rsidRDefault="00296202" w:rsidP="00296202">
            <w:pPr>
              <w:rPr>
                <w:bCs/>
              </w:rPr>
            </w:pPr>
            <w:r w:rsidRPr="00296202">
              <w:rPr>
                <w:bCs/>
              </w:rPr>
              <w:t>2.85”</w:t>
            </w:r>
          </w:p>
        </w:tc>
      </w:tr>
      <w:tr w:rsidR="00296202" w:rsidRPr="00296202" w14:paraId="2DF941D7" w14:textId="77777777" w:rsidTr="00296202">
        <w:trPr>
          <w:trHeight w:val="413"/>
        </w:trPr>
        <w:tc>
          <w:tcPr>
            <w:tcW w:w="2765" w:type="dxa"/>
            <w:tcBorders>
              <w:top w:val="single" w:sz="4" w:space="0" w:color="auto"/>
              <w:left w:val="single" w:sz="4" w:space="0" w:color="auto"/>
              <w:bottom w:val="single" w:sz="4" w:space="0" w:color="auto"/>
              <w:right w:val="single" w:sz="4" w:space="0" w:color="auto"/>
            </w:tcBorders>
            <w:hideMark/>
          </w:tcPr>
          <w:p w14:paraId="000F3254" w14:textId="77777777" w:rsidR="00296202" w:rsidRPr="00296202" w:rsidRDefault="00296202" w:rsidP="00296202">
            <w:pPr>
              <w:rPr>
                <w:b/>
                <w:bCs/>
              </w:rPr>
            </w:pPr>
            <w:r w:rsidRPr="00296202">
              <w:rPr>
                <w:b/>
                <w:bCs/>
              </w:rPr>
              <w:t>1</w:t>
            </w:r>
            <w:r w:rsidRPr="00296202">
              <w:rPr>
                <w:b/>
                <w:bCs/>
                <w:vertAlign w:val="superscript"/>
              </w:rPr>
              <w:t>ST</w:t>
            </w:r>
            <w:r w:rsidRPr="00296202">
              <w:rPr>
                <w:b/>
                <w:bCs/>
              </w:rPr>
              <w:t xml:space="preserve"> QUARTER 2024</w:t>
            </w:r>
          </w:p>
        </w:tc>
        <w:tc>
          <w:tcPr>
            <w:tcW w:w="2270" w:type="dxa"/>
            <w:tcBorders>
              <w:top w:val="single" w:sz="4" w:space="0" w:color="auto"/>
              <w:left w:val="single" w:sz="4" w:space="0" w:color="auto"/>
              <w:bottom w:val="single" w:sz="4" w:space="0" w:color="auto"/>
              <w:right w:val="single" w:sz="4" w:space="0" w:color="auto"/>
            </w:tcBorders>
            <w:hideMark/>
          </w:tcPr>
          <w:p w14:paraId="620A6B99" w14:textId="77777777" w:rsidR="00296202" w:rsidRPr="00296202" w:rsidRDefault="00296202" w:rsidP="00296202">
            <w:pPr>
              <w:rPr>
                <w:bCs/>
              </w:rPr>
            </w:pPr>
            <w:r w:rsidRPr="00296202">
              <w:rPr>
                <w:bCs/>
              </w:rPr>
              <w:t>130,398</w:t>
            </w:r>
          </w:p>
        </w:tc>
        <w:tc>
          <w:tcPr>
            <w:tcW w:w="1620" w:type="dxa"/>
            <w:tcBorders>
              <w:top w:val="single" w:sz="4" w:space="0" w:color="auto"/>
              <w:left w:val="single" w:sz="4" w:space="0" w:color="auto"/>
              <w:bottom w:val="single" w:sz="4" w:space="0" w:color="auto"/>
              <w:right w:val="single" w:sz="4" w:space="0" w:color="auto"/>
            </w:tcBorders>
          </w:tcPr>
          <w:p w14:paraId="44CEB76E" w14:textId="77777777" w:rsidR="00296202" w:rsidRPr="00296202" w:rsidRDefault="00296202" w:rsidP="00296202">
            <w:pPr>
              <w:rPr>
                <w:bCs/>
              </w:rPr>
            </w:pPr>
            <w:r w:rsidRPr="00296202">
              <w:rPr>
                <w:bCs/>
              </w:rPr>
              <w:t>4.22</w:t>
            </w:r>
          </w:p>
          <w:p w14:paraId="495FDF30" w14:textId="77777777" w:rsidR="00296202" w:rsidRPr="00296202" w:rsidRDefault="00296202" w:rsidP="00296202">
            <w:pPr>
              <w:rPr>
                <w:bCs/>
              </w:rPr>
            </w:pPr>
          </w:p>
        </w:tc>
        <w:tc>
          <w:tcPr>
            <w:tcW w:w="1975" w:type="dxa"/>
            <w:tcBorders>
              <w:top w:val="single" w:sz="4" w:space="0" w:color="auto"/>
              <w:left w:val="single" w:sz="4" w:space="0" w:color="auto"/>
              <w:bottom w:val="single" w:sz="4" w:space="0" w:color="auto"/>
              <w:right w:val="single" w:sz="4" w:space="0" w:color="auto"/>
            </w:tcBorders>
            <w:hideMark/>
          </w:tcPr>
          <w:p w14:paraId="7E02014F" w14:textId="77777777" w:rsidR="00296202" w:rsidRPr="00296202" w:rsidRDefault="00296202" w:rsidP="00296202">
            <w:pPr>
              <w:rPr>
                <w:bCs/>
              </w:rPr>
            </w:pPr>
            <w:r w:rsidRPr="00296202">
              <w:rPr>
                <w:bCs/>
              </w:rPr>
              <w:t>9.92”</w:t>
            </w:r>
          </w:p>
        </w:tc>
      </w:tr>
      <w:tr w:rsidR="00296202" w:rsidRPr="00296202" w14:paraId="7E1E19D3" w14:textId="77777777" w:rsidTr="00296202">
        <w:tc>
          <w:tcPr>
            <w:tcW w:w="2765" w:type="dxa"/>
            <w:tcBorders>
              <w:top w:val="single" w:sz="4" w:space="0" w:color="auto"/>
              <w:left w:val="single" w:sz="4" w:space="0" w:color="auto"/>
              <w:bottom w:val="single" w:sz="4" w:space="0" w:color="auto"/>
              <w:right w:val="single" w:sz="4" w:space="0" w:color="auto"/>
            </w:tcBorders>
            <w:hideMark/>
          </w:tcPr>
          <w:p w14:paraId="4E5F9E9C" w14:textId="77777777" w:rsidR="00296202" w:rsidRPr="00296202" w:rsidRDefault="00296202" w:rsidP="00296202">
            <w:pPr>
              <w:rPr>
                <w:b/>
                <w:bCs/>
              </w:rPr>
            </w:pPr>
            <w:r w:rsidRPr="00296202">
              <w:rPr>
                <w:b/>
                <w:bCs/>
              </w:rPr>
              <w:t>2</w:t>
            </w:r>
            <w:r w:rsidRPr="00296202">
              <w:rPr>
                <w:b/>
                <w:bCs/>
                <w:vertAlign w:val="superscript"/>
              </w:rPr>
              <w:t>ND</w:t>
            </w:r>
            <w:r w:rsidRPr="00296202">
              <w:rPr>
                <w:b/>
                <w:bCs/>
              </w:rPr>
              <w:t xml:space="preserve"> QUARTER 2024</w:t>
            </w:r>
          </w:p>
        </w:tc>
        <w:tc>
          <w:tcPr>
            <w:tcW w:w="2270" w:type="dxa"/>
            <w:tcBorders>
              <w:top w:val="single" w:sz="4" w:space="0" w:color="auto"/>
              <w:left w:val="single" w:sz="4" w:space="0" w:color="auto"/>
              <w:bottom w:val="single" w:sz="4" w:space="0" w:color="auto"/>
              <w:right w:val="single" w:sz="4" w:space="0" w:color="auto"/>
            </w:tcBorders>
            <w:hideMark/>
          </w:tcPr>
          <w:p w14:paraId="4554A7C7" w14:textId="77777777" w:rsidR="00296202" w:rsidRPr="00296202" w:rsidRDefault="00296202" w:rsidP="00296202">
            <w:pPr>
              <w:rPr>
                <w:bCs/>
              </w:rPr>
            </w:pPr>
            <w:r w:rsidRPr="00296202">
              <w:rPr>
                <w:bCs/>
              </w:rPr>
              <w:t>146,466</w:t>
            </w:r>
          </w:p>
        </w:tc>
        <w:tc>
          <w:tcPr>
            <w:tcW w:w="1620" w:type="dxa"/>
            <w:tcBorders>
              <w:top w:val="single" w:sz="4" w:space="0" w:color="auto"/>
              <w:left w:val="single" w:sz="4" w:space="0" w:color="auto"/>
              <w:bottom w:val="single" w:sz="4" w:space="0" w:color="auto"/>
              <w:right w:val="single" w:sz="4" w:space="0" w:color="auto"/>
            </w:tcBorders>
            <w:hideMark/>
          </w:tcPr>
          <w:p w14:paraId="5BB566B7" w14:textId="77777777" w:rsidR="00296202" w:rsidRPr="00296202" w:rsidRDefault="00296202" w:rsidP="00296202">
            <w:pPr>
              <w:rPr>
                <w:bCs/>
              </w:rPr>
            </w:pPr>
            <w:r w:rsidRPr="00296202">
              <w:rPr>
                <w:bCs/>
              </w:rPr>
              <w:t>4.74</w:t>
            </w:r>
          </w:p>
        </w:tc>
        <w:tc>
          <w:tcPr>
            <w:tcW w:w="1975" w:type="dxa"/>
            <w:tcBorders>
              <w:top w:val="single" w:sz="4" w:space="0" w:color="auto"/>
              <w:left w:val="single" w:sz="4" w:space="0" w:color="auto"/>
              <w:bottom w:val="single" w:sz="4" w:space="0" w:color="auto"/>
              <w:right w:val="single" w:sz="4" w:space="0" w:color="auto"/>
            </w:tcBorders>
            <w:hideMark/>
          </w:tcPr>
          <w:p w14:paraId="59326A1F" w14:textId="77777777" w:rsidR="00296202" w:rsidRPr="00296202" w:rsidRDefault="00296202" w:rsidP="00296202">
            <w:pPr>
              <w:rPr>
                <w:bCs/>
              </w:rPr>
            </w:pPr>
            <w:r w:rsidRPr="00296202">
              <w:rPr>
                <w:bCs/>
              </w:rPr>
              <w:t>4.30”</w:t>
            </w:r>
          </w:p>
        </w:tc>
      </w:tr>
      <w:tr w:rsidR="00296202" w:rsidRPr="00296202" w14:paraId="557610F1" w14:textId="77777777" w:rsidTr="00296202">
        <w:tc>
          <w:tcPr>
            <w:tcW w:w="2765" w:type="dxa"/>
            <w:tcBorders>
              <w:top w:val="single" w:sz="4" w:space="0" w:color="auto"/>
              <w:left w:val="single" w:sz="4" w:space="0" w:color="auto"/>
              <w:bottom w:val="single" w:sz="4" w:space="0" w:color="auto"/>
              <w:right w:val="single" w:sz="4" w:space="0" w:color="auto"/>
            </w:tcBorders>
            <w:hideMark/>
          </w:tcPr>
          <w:p w14:paraId="63D1A970" w14:textId="77777777" w:rsidR="00296202" w:rsidRPr="00296202" w:rsidRDefault="00296202" w:rsidP="00296202">
            <w:pPr>
              <w:rPr>
                <w:b/>
                <w:bCs/>
              </w:rPr>
            </w:pPr>
            <w:r w:rsidRPr="00296202">
              <w:rPr>
                <w:b/>
                <w:bCs/>
              </w:rPr>
              <w:t>3</w:t>
            </w:r>
            <w:r w:rsidRPr="00296202">
              <w:rPr>
                <w:b/>
                <w:bCs/>
                <w:vertAlign w:val="superscript"/>
              </w:rPr>
              <w:t>RD</w:t>
            </w:r>
            <w:r w:rsidRPr="00296202">
              <w:rPr>
                <w:b/>
                <w:bCs/>
              </w:rPr>
              <w:t xml:space="preserve"> QUARTER 2024</w:t>
            </w:r>
          </w:p>
        </w:tc>
        <w:tc>
          <w:tcPr>
            <w:tcW w:w="2270" w:type="dxa"/>
            <w:tcBorders>
              <w:top w:val="single" w:sz="4" w:space="0" w:color="auto"/>
              <w:left w:val="single" w:sz="4" w:space="0" w:color="auto"/>
              <w:bottom w:val="single" w:sz="4" w:space="0" w:color="auto"/>
              <w:right w:val="single" w:sz="4" w:space="0" w:color="auto"/>
            </w:tcBorders>
            <w:hideMark/>
          </w:tcPr>
          <w:p w14:paraId="7D5E1C34" w14:textId="77777777" w:rsidR="00296202" w:rsidRPr="00296202" w:rsidRDefault="00296202" w:rsidP="00296202">
            <w:pPr>
              <w:rPr>
                <w:bCs/>
              </w:rPr>
            </w:pPr>
            <w:r w:rsidRPr="00296202">
              <w:rPr>
                <w:bCs/>
              </w:rPr>
              <w:t>132,561</w:t>
            </w:r>
          </w:p>
        </w:tc>
        <w:tc>
          <w:tcPr>
            <w:tcW w:w="1620" w:type="dxa"/>
            <w:tcBorders>
              <w:top w:val="single" w:sz="4" w:space="0" w:color="auto"/>
              <w:left w:val="single" w:sz="4" w:space="0" w:color="auto"/>
              <w:bottom w:val="single" w:sz="4" w:space="0" w:color="auto"/>
              <w:right w:val="single" w:sz="4" w:space="0" w:color="auto"/>
            </w:tcBorders>
            <w:hideMark/>
          </w:tcPr>
          <w:p w14:paraId="1E6CF406" w14:textId="77777777" w:rsidR="00296202" w:rsidRPr="00296202" w:rsidRDefault="00296202" w:rsidP="00296202">
            <w:pPr>
              <w:rPr>
                <w:bCs/>
              </w:rPr>
            </w:pPr>
            <w:r w:rsidRPr="00296202">
              <w:rPr>
                <w:bCs/>
              </w:rPr>
              <w:t>4.29</w:t>
            </w:r>
          </w:p>
        </w:tc>
        <w:tc>
          <w:tcPr>
            <w:tcW w:w="1975" w:type="dxa"/>
            <w:tcBorders>
              <w:top w:val="single" w:sz="4" w:space="0" w:color="auto"/>
              <w:left w:val="single" w:sz="4" w:space="0" w:color="auto"/>
              <w:bottom w:val="single" w:sz="4" w:space="0" w:color="auto"/>
              <w:right w:val="single" w:sz="4" w:space="0" w:color="auto"/>
            </w:tcBorders>
            <w:hideMark/>
          </w:tcPr>
          <w:p w14:paraId="54DA4AD8" w14:textId="77777777" w:rsidR="00296202" w:rsidRPr="00296202" w:rsidRDefault="00296202" w:rsidP="00296202">
            <w:pPr>
              <w:rPr>
                <w:bCs/>
              </w:rPr>
            </w:pPr>
            <w:r w:rsidRPr="00296202">
              <w:rPr>
                <w:bCs/>
              </w:rPr>
              <w:t>3.57”</w:t>
            </w:r>
          </w:p>
        </w:tc>
      </w:tr>
      <w:tr w:rsidR="00296202" w:rsidRPr="00296202" w14:paraId="6DEB608B" w14:textId="77777777" w:rsidTr="00296202">
        <w:trPr>
          <w:trHeight w:val="350"/>
        </w:trPr>
        <w:tc>
          <w:tcPr>
            <w:tcW w:w="2765" w:type="dxa"/>
            <w:tcBorders>
              <w:top w:val="single" w:sz="4" w:space="0" w:color="auto"/>
              <w:left w:val="single" w:sz="4" w:space="0" w:color="auto"/>
              <w:bottom w:val="single" w:sz="4" w:space="0" w:color="auto"/>
              <w:right w:val="single" w:sz="4" w:space="0" w:color="auto"/>
            </w:tcBorders>
            <w:hideMark/>
          </w:tcPr>
          <w:p w14:paraId="2D74CA8A" w14:textId="77777777" w:rsidR="00296202" w:rsidRPr="00296202" w:rsidRDefault="00296202" w:rsidP="00296202">
            <w:pPr>
              <w:rPr>
                <w:b/>
                <w:bCs/>
              </w:rPr>
            </w:pPr>
            <w:r w:rsidRPr="00296202">
              <w:rPr>
                <w:b/>
                <w:bCs/>
              </w:rPr>
              <w:t>4</w:t>
            </w:r>
            <w:r w:rsidRPr="00296202">
              <w:rPr>
                <w:b/>
                <w:bCs/>
                <w:vertAlign w:val="superscript"/>
              </w:rPr>
              <w:t>TH</w:t>
            </w:r>
            <w:r w:rsidRPr="00296202">
              <w:rPr>
                <w:b/>
                <w:bCs/>
              </w:rPr>
              <w:t xml:space="preserve"> QUARTER 2024</w:t>
            </w:r>
          </w:p>
        </w:tc>
        <w:tc>
          <w:tcPr>
            <w:tcW w:w="2270" w:type="dxa"/>
            <w:tcBorders>
              <w:top w:val="single" w:sz="4" w:space="0" w:color="auto"/>
              <w:left w:val="single" w:sz="4" w:space="0" w:color="auto"/>
              <w:bottom w:val="single" w:sz="4" w:space="0" w:color="auto"/>
              <w:right w:val="single" w:sz="4" w:space="0" w:color="auto"/>
            </w:tcBorders>
            <w:hideMark/>
          </w:tcPr>
          <w:p w14:paraId="748AD391" w14:textId="77777777" w:rsidR="00296202" w:rsidRPr="00296202" w:rsidRDefault="00296202" w:rsidP="00296202">
            <w:pPr>
              <w:rPr>
                <w:bCs/>
              </w:rPr>
            </w:pPr>
            <w:r w:rsidRPr="00296202">
              <w:rPr>
                <w:bCs/>
              </w:rPr>
              <w:t>126,3851</w:t>
            </w:r>
          </w:p>
        </w:tc>
        <w:tc>
          <w:tcPr>
            <w:tcW w:w="1620" w:type="dxa"/>
            <w:tcBorders>
              <w:top w:val="single" w:sz="4" w:space="0" w:color="auto"/>
              <w:left w:val="single" w:sz="4" w:space="0" w:color="auto"/>
              <w:bottom w:val="single" w:sz="4" w:space="0" w:color="auto"/>
              <w:right w:val="single" w:sz="4" w:space="0" w:color="auto"/>
            </w:tcBorders>
            <w:hideMark/>
          </w:tcPr>
          <w:p w14:paraId="0CE34DCD" w14:textId="77777777" w:rsidR="00296202" w:rsidRPr="00296202" w:rsidRDefault="00296202" w:rsidP="00296202">
            <w:pPr>
              <w:rPr>
                <w:bCs/>
              </w:rPr>
            </w:pPr>
            <w:r w:rsidRPr="00296202">
              <w:rPr>
                <w:bCs/>
              </w:rPr>
              <w:t>4.09</w:t>
            </w:r>
          </w:p>
        </w:tc>
        <w:tc>
          <w:tcPr>
            <w:tcW w:w="1975" w:type="dxa"/>
            <w:tcBorders>
              <w:top w:val="single" w:sz="4" w:space="0" w:color="auto"/>
              <w:left w:val="single" w:sz="4" w:space="0" w:color="auto"/>
              <w:bottom w:val="single" w:sz="4" w:space="0" w:color="auto"/>
              <w:right w:val="single" w:sz="4" w:space="0" w:color="auto"/>
            </w:tcBorders>
          </w:tcPr>
          <w:p w14:paraId="072C6926" w14:textId="77777777" w:rsidR="00296202" w:rsidRPr="00296202" w:rsidRDefault="00296202" w:rsidP="00296202">
            <w:pPr>
              <w:rPr>
                <w:bCs/>
              </w:rPr>
            </w:pPr>
            <w:r w:rsidRPr="00296202">
              <w:rPr>
                <w:bCs/>
              </w:rPr>
              <w:t>2.52”</w:t>
            </w:r>
          </w:p>
          <w:p w14:paraId="4DCA88B5" w14:textId="77777777" w:rsidR="00296202" w:rsidRPr="00296202" w:rsidRDefault="00296202" w:rsidP="00296202">
            <w:pPr>
              <w:rPr>
                <w:bCs/>
              </w:rPr>
            </w:pPr>
          </w:p>
        </w:tc>
      </w:tr>
    </w:tbl>
    <w:p w14:paraId="6E104A67" w14:textId="77777777" w:rsidR="003B1B56" w:rsidRDefault="003B1B56" w:rsidP="00296202">
      <w:pPr>
        <w:spacing w:after="0"/>
        <w:rPr>
          <w:u w:val="single"/>
        </w:rPr>
      </w:pPr>
    </w:p>
    <w:p w14:paraId="2B3F9AC0" w14:textId="0E159C0D" w:rsidR="00296202" w:rsidRDefault="00296202" w:rsidP="00296202">
      <w:pPr>
        <w:spacing w:after="0"/>
        <w:rPr>
          <w:u w:val="single"/>
        </w:rPr>
      </w:pPr>
      <w:r w:rsidRPr="00296202">
        <w:rPr>
          <w:u w:val="single"/>
        </w:rPr>
        <w:lastRenderedPageBreak/>
        <w:t>Magnolia Drive Sewer Replacement 2024</w:t>
      </w:r>
    </w:p>
    <w:p w14:paraId="5E9F1C8F" w14:textId="77777777" w:rsidR="00296202" w:rsidRPr="00296202" w:rsidRDefault="00296202" w:rsidP="00296202">
      <w:pPr>
        <w:spacing w:after="0"/>
      </w:pPr>
    </w:p>
    <w:p w14:paraId="422080CE" w14:textId="0505A3AD" w:rsidR="00296202" w:rsidRPr="00296202" w:rsidRDefault="00296202" w:rsidP="00296202">
      <w:pPr>
        <w:numPr>
          <w:ilvl w:val="0"/>
          <w:numId w:val="15"/>
        </w:numPr>
        <w:spacing w:after="0"/>
        <w:rPr>
          <w:bCs/>
        </w:rPr>
      </w:pPr>
      <w:r w:rsidRPr="00296202">
        <w:rPr>
          <w:bCs/>
        </w:rPr>
        <w:t>Clearview Excavating</w:t>
      </w:r>
      <w:r w:rsidRPr="00296202">
        <w:rPr>
          <w:bCs/>
        </w:rPr>
        <w:tab/>
      </w:r>
      <w:proofErr w:type="gramStart"/>
      <w:r w:rsidRPr="00296202">
        <w:rPr>
          <w:bCs/>
        </w:rPr>
        <w:t>$</w:t>
      </w:r>
      <w:r w:rsidR="00133956">
        <w:rPr>
          <w:bCs/>
        </w:rPr>
        <w:t xml:space="preserve">  </w:t>
      </w:r>
      <w:r w:rsidRPr="00296202">
        <w:rPr>
          <w:bCs/>
        </w:rPr>
        <w:t>80,709</w:t>
      </w:r>
      <w:proofErr w:type="gramEnd"/>
    </w:p>
    <w:p w14:paraId="73FA3C7E" w14:textId="4C35D8C5" w:rsidR="00296202" w:rsidRPr="00296202" w:rsidRDefault="00296202" w:rsidP="00296202">
      <w:pPr>
        <w:numPr>
          <w:ilvl w:val="0"/>
          <w:numId w:val="15"/>
        </w:numPr>
        <w:spacing w:after="0"/>
        <w:rPr>
          <w:bCs/>
        </w:rPr>
      </w:pPr>
      <w:r w:rsidRPr="00296202">
        <w:rPr>
          <w:bCs/>
        </w:rPr>
        <w:t>Barmac</w:t>
      </w:r>
      <w:r w:rsidRPr="00296202">
        <w:rPr>
          <w:bCs/>
        </w:rPr>
        <w:tab/>
      </w:r>
      <w:r w:rsidRPr="00296202">
        <w:rPr>
          <w:bCs/>
        </w:rPr>
        <w:tab/>
      </w:r>
      <w:r w:rsidRPr="00296202">
        <w:rPr>
          <w:bCs/>
        </w:rPr>
        <w:tab/>
      </w:r>
      <w:proofErr w:type="gramStart"/>
      <w:r w:rsidRPr="00296202">
        <w:rPr>
          <w:bCs/>
        </w:rPr>
        <w:t>$</w:t>
      </w:r>
      <w:r w:rsidR="00133956">
        <w:rPr>
          <w:bCs/>
        </w:rPr>
        <w:t xml:space="preserve">  </w:t>
      </w:r>
      <w:r w:rsidRPr="00296202">
        <w:rPr>
          <w:bCs/>
        </w:rPr>
        <w:t>23,613</w:t>
      </w:r>
      <w:proofErr w:type="gramEnd"/>
    </w:p>
    <w:p w14:paraId="61EFAFEC" w14:textId="4F0A25C0" w:rsidR="00296202" w:rsidRPr="00296202" w:rsidRDefault="00296202" w:rsidP="00296202">
      <w:pPr>
        <w:numPr>
          <w:ilvl w:val="0"/>
          <w:numId w:val="15"/>
        </w:numPr>
        <w:spacing w:after="0"/>
        <w:rPr>
          <w:bCs/>
        </w:rPr>
      </w:pPr>
      <w:r w:rsidRPr="00296202">
        <w:rPr>
          <w:bCs/>
        </w:rPr>
        <w:t>Erosion Control</w:t>
      </w:r>
      <w:r w:rsidRPr="00296202">
        <w:rPr>
          <w:bCs/>
        </w:rPr>
        <w:tab/>
      </w:r>
      <w:r w:rsidRPr="00296202">
        <w:rPr>
          <w:bCs/>
        </w:rPr>
        <w:tab/>
        <w:t>$</w:t>
      </w:r>
      <w:r w:rsidR="00133956">
        <w:rPr>
          <w:bCs/>
        </w:rPr>
        <w:t xml:space="preserve">    </w:t>
      </w:r>
      <w:r w:rsidRPr="00296202">
        <w:rPr>
          <w:bCs/>
        </w:rPr>
        <w:t>2</w:t>
      </w:r>
      <w:r w:rsidR="003B1B56">
        <w:rPr>
          <w:bCs/>
        </w:rPr>
        <w:t>,</w:t>
      </w:r>
      <w:r w:rsidRPr="00296202">
        <w:rPr>
          <w:bCs/>
        </w:rPr>
        <w:t>300</w:t>
      </w:r>
    </w:p>
    <w:p w14:paraId="433CDE34" w14:textId="0E86DC0D" w:rsidR="00296202" w:rsidRPr="00296202" w:rsidRDefault="00296202" w:rsidP="00296202">
      <w:pPr>
        <w:numPr>
          <w:ilvl w:val="0"/>
          <w:numId w:val="15"/>
        </w:numPr>
        <w:spacing w:after="0"/>
        <w:rPr>
          <w:bCs/>
        </w:rPr>
      </w:pPr>
      <w:r w:rsidRPr="00296202">
        <w:rPr>
          <w:bCs/>
        </w:rPr>
        <w:t>Pipe</w:t>
      </w:r>
      <w:r w:rsidRPr="00296202">
        <w:rPr>
          <w:bCs/>
        </w:rPr>
        <w:tab/>
      </w:r>
      <w:r w:rsidRPr="00296202">
        <w:rPr>
          <w:bCs/>
        </w:rPr>
        <w:tab/>
      </w:r>
      <w:r w:rsidRPr="00296202">
        <w:rPr>
          <w:bCs/>
        </w:rPr>
        <w:tab/>
      </w:r>
      <w:r w:rsidRPr="00296202">
        <w:rPr>
          <w:bCs/>
        </w:rPr>
        <w:tab/>
      </w:r>
      <w:proofErr w:type="gramStart"/>
      <w:r w:rsidRPr="00296202">
        <w:rPr>
          <w:bCs/>
        </w:rPr>
        <w:t>$</w:t>
      </w:r>
      <w:r w:rsidR="00133956">
        <w:rPr>
          <w:bCs/>
        </w:rPr>
        <w:t xml:space="preserve">  </w:t>
      </w:r>
      <w:r w:rsidRPr="00296202">
        <w:rPr>
          <w:bCs/>
        </w:rPr>
        <w:t>29,628</w:t>
      </w:r>
      <w:proofErr w:type="gramEnd"/>
    </w:p>
    <w:p w14:paraId="11255932" w14:textId="48D8AD01" w:rsidR="00296202" w:rsidRPr="00296202" w:rsidRDefault="00296202" w:rsidP="00296202">
      <w:pPr>
        <w:numPr>
          <w:ilvl w:val="0"/>
          <w:numId w:val="15"/>
        </w:numPr>
        <w:spacing w:after="0"/>
        <w:rPr>
          <w:bCs/>
          <w:u w:val="single"/>
        </w:rPr>
      </w:pPr>
      <w:r w:rsidRPr="00296202">
        <w:rPr>
          <w:bCs/>
        </w:rPr>
        <w:t>Commercial Pump</w:t>
      </w:r>
      <w:r w:rsidRPr="00296202">
        <w:rPr>
          <w:bCs/>
        </w:rPr>
        <w:tab/>
      </w:r>
      <w:r w:rsidRPr="00296202">
        <w:rPr>
          <w:bCs/>
        </w:rPr>
        <w:tab/>
      </w:r>
      <w:r w:rsidRPr="003B1B56">
        <w:rPr>
          <w:bCs/>
        </w:rPr>
        <w:t>$</w:t>
      </w:r>
      <w:r w:rsidR="00133956">
        <w:rPr>
          <w:bCs/>
        </w:rPr>
        <w:t xml:space="preserve">    </w:t>
      </w:r>
      <w:r w:rsidRPr="003B1B56">
        <w:rPr>
          <w:bCs/>
        </w:rPr>
        <w:t>1</w:t>
      </w:r>
      <w:r w:rsidR="003B1B56">
        <w:rPr>
          <w:bCs/>
        </w:rPr>
        <w:t>,</w:t>
      </w:r>
      <w:r w:rsidRPr="003B1B56">
        <w:rPr>
          <w:bCs/>
        </w:rPr>
        <w:t>500</w:t>
      </w:r>
    </w:p>
    <w:p w14:paraId="60DB80A5" w14:textId="77777777" w:rsidR="00296202" w:rsidRPr="00296202" w:rsidRDefault="00296202" w:rsidP="00296202">
      <w:pPr>
        <w:numPr>
          <w:ilvl w:val="0"/>
          <w:numId w:val="15"/>
        </w:numPr>
        <w:spacing w:after="0"/>
        <w:rPr>
          <w:bCs/>
        </w:rPr>
      </w:pPr>
      <w:r w:rsidRPr="00296202">
        <w:rPr>
          <w:bCs/>
        </w:rPr>
        <w:t>Total</w:t>
      </w:r>
      <w:r w:rsidRPr="00296202">
        <w:rPr>
          <w:bCs/>
        </w:rPr>
        <w:tab/>
      </w:r>
      <w:r w:rsidRPr="00296202">
        <w:rPr>
          <w:bCs/>
        </w:rPr>
        <w:tab/>
      </w:r>
      <w:r w:rsidRPr="00296202">
        <w:rPr>
          <w:bCs/>
        </w:rPr>
        <w:tab/>
      </w:r>
      <w:r w:rsidRPr="00296202">
        <w:rPr>
          <w:bCs/>
        </w:rPr>
        <w:tab/>
      </w:r>
      <w:r w:rsidRPr="00296202">
        <w:rPr>
          <w:bCs/>
          <w:u w:val="single"/>
        </w:rPr>
        <w:t>$137,750</w:t>
      </w:r>
    </w:p>
    <w:p w14:paraId="5FE31D98" w14:textId="34ECD09B" w:rsidR="00296202" w:rsidRPr="00296202" w:rsidRDefault="00296202" w:rsidP="00296202">
      <w:pPr>
        <w:numPr>
          <w:ilvl w:val="0"/>
          <w:numId w:val="15"/>
        </w:numPr>
        <w:spacing w:after="0"/>
        <w:rPr>
          <w:bCs/>
        </w:rPr>
      </w:pPr>
      <w:r w:rsidRPr="00296202">
        <w:rPr>
          <w:bCs/>
        </w:rPr>
        <w:t>Budget</w:t>
      </w:r>
      <w:r w:rsidRPr="00296202">
        <w:rPr>
          <w:bCs/>
        </w:rPr>
        <w:tab/>
      </w:r>
      <w:r w:rsidRPr="00296202">
        <w:rPr>
          <w:bCs/>
        </w:rPr>
        <w:tab/>
      </w:r>
      <w:r w:rsidRPr="00296202">
        <w:rPr>
          <w:bCs/>
        </w:rPr>
        <w:tab/>
      </w:r>
      <w:r w:rsidRPr="00296202">
        <w:rPr>
          <w:bCs/>
          <w:u w:val="single"/>
        </w:rPr>
        <w:t>$200,000</w:t>
      </w:r>
    </w:p>
    <w:p w14:paraId="26F34063" w14:textId="77777777" w:rsidR="00296202" w:rsidRPr="00296202" w:rsidRDefault="00296202" w:rsidP="00296202">
      <w:pPr>
        <w:spacing w:after="0"/>
        <w:rPr>
          <w:bCs/>
        </w:rPr>
      </w:pPr>
    </w:p>
    <w:p w14:paraId="4D918709" w14:textId="6567D06F" w:rsidR="00296202" w:rsidRDefault="00296202" w:rsidP="00296202">
      <w:pPr>
        <w:spacing w:after="0"/>
        <w:rPr>
          <w:b/>
          <w:bCs/>
        </w:rPr>
      </w:pPr>
      <w:r w:rsidRPr="00296202">
        <w:rPr>
          <w:u w:val="single"/>
        </w:rPr>
        <w:t>Grease</w:t>
      </w:r>
      <w:r w:rsidR="004973B5">
        <w:rPr>
          <w:u w:val="single"/>
        </w:rPr>
        <w:t xml:space="preserve"> T</w:t>
      </w:r>
      <w:r w:rsidRPr="00296202">
        <w:rPr>
          <w:u w:val="single"/>
        </w:rPr>
        <w:t>raps</w:t>
      </w:r>
      <w:r>
        <w:rPr>
          <w:b/>
          <w:bCs/>
        </w:rPr>
        <w:t xml:space="preserve"> </w:t>
      </w:r>
    </w:p>
    <w:p w14:paraId="1C746171" w14:textId="77777777" w:rsidR="00296202" w:rsidRDefault="00296202" w:rsidP="00296202">
      <w:pPr>
        <w:spacing w:after="0"/>
        <w:rPr>
          <w:b/>
          <w:bCs/>
        </w:rPr>
      </w:pPr>
    </w:p>
    <w:p w14:paraId="5CF9EC95" w14:textId="3443D3D1" w:rsidR="00296202" w:rsidRPr="00296202" w:rsidRDefault="00296202" w:rsidP="00296202">
      <w:pPr>
        <w:spacing w:after="0"/>
        <w:rPr>
          <w:bCs/>
        </w:rPr>
      </w:pPr>
      <w:r w:rsidRPr="00296202">
        <w:rPr>
          <w:bCs/>
        </w:rPr>
        <w:t xml:space="preserve">We are collecting </w:t>
      </w:r>
      <w:r w:rsidR="00F80AB6">
        <w:rPr>
          <w:bCs/>
        </w:rPr>
        <w:t>m</w:t>
      </w:r>
      <w:r w:rsidRPr="00296202">
        <w:rPr>
          <w:bCs/>
        </w:rPr>
        <w:t>anifests for 2024</w:t>
      </w:r>
      <w:r w:rsidR="001017C1">
        <w:rPr>
          <w:bCs/>
        </w:rPr>
        <w:t xml:space="preserve"> which w</w:t>
      </w:r>
      <w:r w:rsidRPr="00296202">
        <w:rPr>
          <w:bCs/>
        </w:rPr>
        <w:t xml:space="preserve">ill be finished by February.  </w:t>
      </w:r>
      <w:r w:rsidR="001017C1">
        <w:rPr>
          <w:bCs/>
        </w:rPr>
        <w:t>This w</w:t>
      </w:r>
      <w:r w:rsidRPr="00296202">
        <w:rPr>
          <w:bCs/>
        </w:rPr>
        <w:t>ill</w:t>
      </w:r>
      <w:r w:rsidR="001017C1">
        <w:rPr>
          <w:bCs/>
        </w:rPr>
        <w:t xml:space="preserve"> be</w:t>
      </w:r>
      <w:r w:rsidRPr="00296202">
        <w:rPr>
          <w:bCs/>
        </w:rPr>
        <w:t xml:space="preserve"> discuss</w:t>
      </w:r>
      <w:r w:rsidR="001017C1">
        <w:rPr>
          <w:bCs/>
        </w:rPr>
        <w:t>ed</w:t>
      </w:r>
      <w:r w:rsidRPr="00296202">
        <w:rPr>
          <w:bCs/>
        </w:rPr>
        <w:t xml:space="preserve"> at next Authority meeting.</w:t>
      </w:r>
    </w:p>
    <w:p w14:paraId="7AF5E911" w14:textId="77777777" w:rsidR="00296202" w:rsidRPr="00296202" w:rsidRDefault="00296202" w:rsidP="00296202">
      <w:pPr>
        <w:spacing w:after="0"/>
        <w:rPr>
          <w:bCs/>
        </w:rPr>
      </w:pPr>
    </w:p>
    <w:p w14:paraId="3D26A305" w14:textId="77777777" w:rsidR="00296202" w:rsidRDefault="00296202" w:rsidP="00296202">
      <w:pPr>
        <w:spacing w:after="0"/>
        <w:rPr>
          <w:b/>
          <w:bCs/>
        </w:rPr>
      </w:pPr>
      <w:r w:rsidRPr="00296202">
        <w:rPr>
          <w:u w:val="single"/>
        </w:rPr>
        <w:t>Shrewsbury Township EDUs</w:t>
      </w:r>
      <w:r>
        <w:rPr>
          <w:b/>
          <w:bCs/>
        </w:rPr>
        <w:t xml:space="preserve"> </w:t>
      </w:r>
    </w:p>
    <w:p w14:paraId="1AA1CCE5" w14:textId="77777777" w:rsidR="00296202" w:rsidRDefault="00296202" w:rsidP="00296202">
      <w:pPr>
        <w:spacing w:after="0"/>
        <w:rPr>
          <w:b/>
          <w:bCs/>
        </w:rPr>
      </w:pPr>
    </w:p>
    <w:p w14:paraId="46FB2251" w14:textId="1ED280B7" w:rsidR="00296202" w:rsidRPr="00296202" w:rsidRDefault="00296202" w:rsidP="00296202">
      <w:pPr>
        <w:spacing w:after="0"/>
        <w:rPr>
          <w:bCs/>
        </w:rPr>
      </w:pPr>
      <w:r w:rsidRPr="00296202">
        <w:rPr>
          <w:bCs/>
        </w:rPr>
        <w:t>Shrewsbury Township purchased some EDUs from customers that</w:t>
      </w:r>
      <w:r w:rsidR="001017C1">
        <w:rPr>
          <w:bCs/>
        </w:rPr>
        <w:t xml:space="preserve"> are</w:t>
      </w:r>
      <w:r w:rsidRPr="00296202">
        <w:rPr>
          <w:bCs/>
        </w:rPr>
        <w:t xml:space="preserve"> no longer needed.  Currently, they have </w:t>
      </w:r>
      <w:r w:rsidR="001017C1">
        <w:rPr>
          <w:bCs/>
        </w:rPr>
        <w:t>two</w:t>
      </w:r>
      <w:r w:rsidRPr="00296202">
        <w:rPr>
          <w:bCs/>
        </w:rPr>
        <w:t xml:space="preserve"> EDUs that can be purchased.</w:t>
      </w:r>
    </w:p>
    <w:p w14:paraId="2B60620E" w14:textId="77777777" w:rsidR="00296202" w:rsidRPr="00296202" w:rsidRDefault="00296202" w:rsidP="00296202">
      <w:pPr>
        <w:spacing w:after="0"/>
        <w:rPr>
          <w:bCs/>
        </w:rPr>
      </w:pPr>
    </w:p>
    <w:p w14:paraId="5528982F" w14:textId="77777777" w:rsidR="00296202" w:rsidRDefault="00296202" w:rsidP="00296202">
      <w:pPr>
        <w:spacing w:after="0"/>
        <w:rPr>
          <w:b/>
          <w:bCs/>
        </w:rPr>
      </w:pPr>
      <w:r w:rsidRPr="00296202">
        <w:rPr>
          <w:u w:val="single"/>
        </w:rPr>
        <w:t>NFWWTP Blower Project</w:t>
      </w:r>
      <w:r>
        <w:rPr>
          <w:b/>
          <w:bCs/>
        </w:rPr>
        <w:t xml:space="preserve">  </w:t>
      </w:r>
    </w:p>
    <w:p w14:paraId="25138F41" w14:textId="77777777" w:rsidR="00296202" w:rsidRDefault="00296202" w:rsidP="00296202">
      <w:pPr>
        <w:spacing w:after="0"/>
        <w:rPr>
          <w:b/>
          <w:bCs/>
        </w:rPr>
      </w:pPr>
    </w:p>
    <w:p w14:paraId="2B9E8AC1" w14:textId="11632F20" w:rsidR="00296202" w:rsidRPr="00296202" w:rsidRDefault="00296202" w:rsidP="00296202">
      <w:pPr>
        <w:spacing w:after="0"/>
        <w:rPr>
          <w:bCs/>
        </w:rPr>
      </w:pPr>
      <w:r w:rsidRPr="00296202">
        <w:rPr>
          <w:bCs/>
        </w:rPr>
        <w:t>This week issued “Notice to Proceed”.    Original project timeline and facts:</w:t>
      </w:r>
    </w:p>
    <w:p w14:paraId="7C3DD584" w14:textId="77777777" w:rsidR="00296202" w:rsidRPr="00296202" w:rsidRDefault="00296202" w:rsidP="00296202">
      <w:pPr>
        <w:numPr>
          <w:ilvl w:val="0"/>
          <w:numId w:val="16"/>
        </w:numPr>
        <w:spacing w:after="0"/>
        <w:rPr>
          <w:bCs/>
        </w:rPr>
      </w:pPr>
      <w:r w:rsidRPr="00296202">
        <w:rPr>
          <w:bCs/>
        </w:rPr>
        <w:t>$2.2 million project</w:t>
      </w:r>
    </w:p>
    <w:p w14:paraId="6B352D20" w14:textId="77777777" w:rsidR="00296202" w:rsidRPr="00296202" w:rsidRDefault="00296202" w:rsidP="00296202">
      <w:pPr>
        <w:numPr>
          <w:ilvl w:val="0"/>
          <w:numId w:val="16"/>
        </w:numPr>
        <w:spacing w:after="0"/>
        <w:rPr>
          <w:bCs/>
        </w:rPr>
      </w:pPr>
      <w:r w:rsidRPr="00296202">
        <w:rPr>
          <w:bCs/>
        </w:rPr>
        <w:t>One-year project from bid award</w:t>
      </w:r>
    </w:p>
    <w:p w14:paraId="72110E59" w14:textId="77777777" w:rsidR="00296202" w:rsidRPr="00296202" w:rsidRDefault="00296202" w:rsidP="00296202">
      <w:pPr>
        <w:numPr>
          <w:ilvl w:val="0"/>
          <w:numId w:val="16"/>
        </w:numPr>
        <w:spacing w:after="0"/>
        <w:rPr>
          <w:bCs/>
        </w:rPr>
      </w:pPr>
      <w:r w:rsidRPr="00296202">
        <w:rPr>
          <w:bCs/>
        </w:rPr>
        <w:t>Completed in 2025</w:t>
      </w:r>
    </w:p>
    <w:p w14:paraId="13605190" w14:textId="77777777" w:rsidR="00296202" w:rsidRPr="00296202" w:rsidRDefault="00296202" w:rsidP="00296202">
      <w:pPr>
        <w:numPr>
          <w:ilvl w:val="0"/>
          <w:numId w:val="16"/>
        </w:numPr>
        <w:spacing w:after="0"/>
        <w:rPr>
          <w:bCs/>
        </w:rPr>
      </w:pPr>
      <w:r w:rsidRPr="00296202">
        <w:rPr>
          <w:bCs/>
        </w:rPr>
        <w:t>Grant awarded for $1.46 Million.</w:t>
      </w:r>
    </w:p>
    <w:p w14:paraId="7125C412" w14:textId="77777777" w:rsidR="00296202" w:rsidRDefault="00296202" w:rsidP="00296202">
      <w:pPr>
        <w:numPr>
          <w:ilvl w:val="0"/>
          <w:numId w:val="16"/>
        </w:numPr>
        <w:spacing w:after="0"/>
        <w:rPr>
          <w:bCs/>
        </w:rPr>
      </w:pPr>
      <w:r w:rsidRPr="00296202">
        <w:rPr>
          <w:bCs/>
        </w:rPr>
        <w:t>Shrewsbury Borough/MA responsible for 61.72% Capital Project</w:t>
      </w:r>
    </w:p>
    <w:p w14:paraId="0DF39454" w14:textId="77777777" w:rsidR="001017C1" w:rsidRDefault="001017C1" w:rsidP="001017C1">
      <w:pPr>
        <w:spacing w:after="0"/>
        <w:rPr>
          <w:bCs/>
        </w:rPr>
      </w:pPr>
    </w:p>
    <w:p w14:paraId="68CCDA2B" w14:textId="72C48AF9" w:rsidR="001017C1" w:rsidRPr="00296202" w:rsidRDefault="001017C1" w:rsidP="001017C1">
      <w:pPr>
        <w:spacing w:after="0"/>
        <w:rPr>
          <w:bCs/>
        </w:rPr>
      </w:pPr>
      <w:r>
        <w:rPr>
          <w:bCs/>
        </w:rPr>
        <w:t>The project was awarded late last year at a cost of over $4 million with the project going into 2026.</w:t>
      </w:r>
    </w:p>
    <w:p w14:paraId="37BB0352" w14:textId="77777777" w:rsidR="00296202" w:rsidRPr="00296202" w:rsidRDefault="00296202" w:rsidP="00296202">
      <w:pPr>
        <w:spacing w:after="0"/>
        <w:rPr>
          <w:bCs/>
        </w:rPr>
      </w:pPr>
    </w:p>
    <w:p w14:paraId="1C7B3CA7" w14:textId="2116C28B" w:rsidR="00296202" w:rsidRPr="007D1F07" w:rsidRDefault="00296202" w:rsidP="00296202">
      <w:pPr>
        <w:spacing w:after="0"/>
        <w:rPr>
          <w:u w:val="single"/>
        </w:rPr>
      </w:pPr>
      <w:r w:rsidRPr="007D1F07">
        <w:rPr>
          <w:u w:val="single"/>
        </w:rPr>
        <w:t>MA New Construction</w:t>
      </w:r>
    </w:p>
    <w:p w14:paraId="266CBE5E" w14:textId="77777777" w:rsidR="00296202" w:rsidRPr="00296202" w:rsidRDefault="00296202" w:rsidP="00296202">
      <w:pPr>
        <w:spacing w:after="0"/>
        <w:rPr>
          <w:u w:val="single"/>
        </w:rPr>
      </w:pPr>
    </w:p>
    <w:p w14:paraId="3ED2A0AB" w14:textId="77777777" w:rsidR="00296202" w:rsidRPr="00296202" w:rsidRDefault="00296202" w:rsidP="00296202">
      <w:pPr>
        <w:numPr>
          <w:ilvl w:val="0"/>
          <w:numId w:val="17"/>
        </w:numPr>
        <w:spacing w:after="0"/>
        <w:rPr>
          <w:bCs/>
        </w:rPr>
      </w:pPr>
      <w:r w:rsidRPr="00296202">
        <w:rPr>
          <w:bCs/>
        </w:rPr>
        <w:t>Powers Project (4 Additional EDUs)- Sewer laterals installed on lots in Shrewsbury Township on Tolna Road.</w:t>
      </w:r>
    </w:p>
    <w:p w14:paraId="316A9D55" w14:textId="77777777" w:rsidR="00296202" w:rsidRPr="00296202" w:rsidRDefault="00296202" w:rsidP="00296202">
      <w:pPr>
        <w:numPr>
          <w:ilvl w:val="0"/>
          <w:numId w:val="17"/>
        </w:numPr>
        <w:spacing w:after="0"/>
        <w:rPr>
          <w:bCs/>
        </w:rPr>
      </w:pPr>
      <w:proofErr w:type="spellStart"/>
      <w:r w:rsidRPr="00296202">
        <w:rPr>
          <w:bCs/>
        </w:rPr>
        <w:t>Wellspan</w:t>
      </w:r>
      <w:proofErr w:type="spellEnd"/>
      <w:r w:rsidRPr="00296202">
        <w:rPr>
          <w:bCs/>
        </w:rPr>
        <w:t xml:space="preserve"> Hospital (12 EDUs)- Site Work on Wolfe Road Hopewell Township</w:t>
      </w:r>
    </w:p>
    <w:p w14:paraId="62229E38" w14:textId="77777777" w:rsidR="00296202" w:rsidRPr="00296202" w:rsidRDefault="00296202" w:rsidP="00296202">
      <w:pPr>
        <w:numPr>
          <w:ilvl w:val="0"/>
          <w:numId w:val="17"/>
        </w:numPr>
        <w:spacing w:after="0"/>
        <w:rPr>
          <w:bCs/>
        </w:rPr>
      </w:pPr>
      <w:r w:rsidRPr="00296202">
        <w:rPr>
          <w:bCs/>
        </w:rPr>
        <w:t>Laracina Development (46 EDUs)- Planning Stages at Tolna Road and Mount Airy Road in Shrewsbury Township.</w:t>
      </w:r>
    </w:p>
    <w:p w14:paraId="651CAA1A" w14:textId="77777777" w:rsidR="00296202" w:rsidRPr="00296202" w:rsidRDefault="00296202" w:rsidP="00296202">
      <w:pPr>
        <w:numPr>
          <w:ilvl w:val="0"/>
          <w:numId w:val="17"/>
        </w:numPr>
        <w:spacing w:after="0"/>
        <w:rPr>
          <w:bCs/>
        </w:rPr>
      </w:pPr>
      <w:r w:rsidRPr="00296202">
        <w:rPr>
          <w:bCs/>
        </w:rPr>
        <w:t>Prindle Court- Warehouse (1 EDU)- Requesting one EDU from Stewart Associates in Hopewell Township.</w:t>
      </w:r>
    </w:p>
    <w:p w14:paraId="17B68688" w14:textId="77777777" w:rsidR="00296202" w:rsidRPr="00296202" w:rsidRDefault="00296202" w:rsidP="00296202">
      <w:pPr>
        <w:numPr>
          <w:ilvl w:val="0"/>
          <w:numId w:val="17"/>
        </w:numPr>
        <w:spacing w:after="0"/>
        <w:rPr>
          <w:bCs/>
        </w:rPr>
      </w:pPr>
      <w:r w:rsidRPr="00296202">
        <w:rPr>
          <w:bCs/>
        </w:rPr>
        <w:lastRenderedPageBreak/>
        <w:t>Harbor Freight/Sherwin Williams/Fireworks (5 EDUs)- Planning for Firework and retail space at site of “OLD” True Value in Shrewsbury Township.</w:t>
      </w:r>
    </w:p>
    <w:p w14:paraId="5053D623" w14:textId="77777777" w:rsidR="00296202" w:rsidRPr="00296202" w:rsidRDefault="00296202" w:rsidP="00296202">
      <w:pPr>
        <w:spacing w:after="0"/>
        <w:rPr>
          <w:bCs/>
        </w:rPr>
      </w:pPr>
    </w:p>
    <w:p w14:paraId="3B4AE88A" w14:textId="098BE1F9" w:rsidR="00296202" w:rsidRPr="00296202" w:rsidRDefault="00296202" w:rsidP="00296202">
      <w:pPr>
        <w:spacing w:after="0"/>
        <w:ind w:left="720"/>
        <w:rPr>
          <w:b/>
          <w:bCs/>
        </w:rPr>
      </w:pPr>
      <w:r w:rsidRPr="00296202">
        <w:rPr>
          <w:u w:val="single"/>
        </w:rPr>
        <w:t>Sewer Flows</w:t>
      </w:r>
    </w:p>
    <w:p w14:paraId="43C7B838" w14:textId="77777777" w:rsidR="00296202" w:rsidRPr="00296202" w:rsidRDefault="00296202" w:rsidP="00296202">
      <w:pPr>
        <w:spacing w:after="0"/>
        <w:rPr>
          <w:b/>
          <w:bCs/>
        </w:rPr>
      </w:pPr>
    </w:p>
    <w:tbl>
      <w:tblPr>
        <w:tblStyle w:val="TableGrid"/>
        <w:tblW w:w="0" w:type="auto"/>
        <w:tblInd w:w="720" w:type="dxa"/>
        <w:tblLook w:val="04A0" w:firstRow="1" w:lastRow="0" w:firstColumn="1" w:lastColumn="0" w:noHBand="0" w:noVBand="1"/>
      </w:tblPr>
      <w:tblGrid>
        <w:gridCol w:w="1620"/>
        <w:gridCol w:w="2208"/>
        <w:gridCol w:w="1544"/>
        <w:gridCol w:w="1714"/>
        <w:gridCol w:w="1544"/>
      </w:tblGrid>
      <w:tr w:rsidR="00296202" w:rsidRPr="00296202" w14:paraId="7D9BD313" w14:textId="77777777" w:rsidTr="00296202">
        <w:tc>
          <w:tcPr>
            <w:tcW w:w="1620" w:type="dxa"/>
            <w:tcBorders>
              <w:top w:val="single" w:sz="4" w:space="0" w:color="auto"/>
              <w:left w:val="single" w:sz="4" w:space="0" w:color="auto"/>
              <w:bottom w:val="single" w:sz="4" w:space="0" w:color="auto"/>
              <w:right w:val="single" w:sz="4" w:space="0" w:color="auto"/>
            </w:tcBorders>
            <w:hideMark/>
          </w:tcPr>
          <w:p w14:paraId="5FF31E20" w14:textId="77777777" w:rsidR="00296202" w:rsidRPr="00296202" w:rsidRDefault="00296202" w:rsidP="00296202">
            <w:pPr>
              <w:rPr>
                <w:bCs/>
              </w:rPr>
            </w:pPr>
            <w:r w:rsidRPr="00296202">
              <w:rPr>
                <w:b/>
                <w:bCs/>
              </w:rPr>
              <w:t>YEAR</w:t>
            </w:r>
          </w:p>
        </w:tc>
        <w:tc>
          <w:tcPr>
            <w:tcW w:w="2208" w:type="dxa"/>
            <w:tcBorders>
              <w:top w:val="single" w:sz="4" w:space="0" w:color="auto"/>
              <w:left w:val="single" w:sz="4" w:space="0" w:color="auto"/>
              <w:bottom w:val="single" w:sz="4" w:space="0" w:color="auto"/>
              <w:right w:val="single" w:sz="4" w:space="0" w:color="auto"/>
            </w:tcBorders>
            <w:hideMark/>
          </w:tcPr>
          <w:p w14:paraId="0CD78D0A" w14:textId="77777777" w:rsidR="00296202" w:rsidRPr="00296202" w:rsidRDefault="00296202" w:rsidP="00296202">
            <w:pPr>
              <w:rPr>
                <w:b/>
                <w:bCs/>
              </w:rPr>
            </w:pPr>
            <w:r w:rsidRPr="00296202">
              <w:rPr>
                <w:b/>
                <w:bCs/>
              </w:rPr>
              <w:t>SHREWSBURY</w:t>
            </w:r>
          </w:p>
          <w:p w14:paraId="444A8330" w14:textId="77777777" w:rsidR="00296202" w:rsidRPr="00296202" w:rsidRDefault="00296202" w:rsidP="00296202">
            <w:pPr>
              <w:rPr>
                <w:bCs/>
              </w:rPr>
            </w:pPr>
            <w:r w:rsidRPr="00296202">
              <w:rPr>
                <w:b/>
                <w:bCs/>
              </w:rPr>
              <w:t>(MGD)</w:t>
            </w:r>
          </w:p>
        </w:tc>
        <w:tc>
          <w:tcPr>
            <w:tcW w:w="1544" w:type="dxa"/>
            <w:tcBorders>
              <w:top w:val="single" w:sz="4" w:space="0" w:color="auto"/>
              <w:left w:val="single" w:sz="4" w:space="0" w:color="auto"/>
              <w:bottom w:val="single" w:sz="4" w:space="0" w:color="auto"/>
              <w:right w:val="single" w:sz="4" w:space="0" w:color="auto"/>
            </w:tcBorders>
            <w:hideMark/>
          </w:tcPr>
          <w:p w14:paraId="79979802" w14:textId="77777777" w:rsidR="00296202" w:rsidRPr="00296202" w:rsidRDefault="00296202" w:rsidP="00296202">
            <w:pPr>
              <w:rPr>
                <w:bCs/>
              </w:rPr>
            </w:pPr>
            <w:r w:rsidRPr="00296202">
              <w:rPr>
                <w:b/>
                <w:bCs/>
              </w:rPr>
              <w:t>%</w:t>
            </w:r>
          </w:p>
        </w:tc>
        <w:tc>
          <w:tcPr>
            <w:tcW w:w="1714" w:type="dxa"/>
            <w:tcBorders>
              <w:top w:val="single" w:sz="4" w:space="0" w:color="auto"/>
              <w:left w:val="single" w:sz="4" w:space="0" w:color="auto"/>
              <w:bottom w:val="single" w:sz="4" w:space="0" w:color="auto"/>
              <w:right w:val="single" w:sz="4" w:space="0" w:color="auto"/>
            </w:tcBorders>
            <w:hideMark/>
          </w:tcPr>
          <w:p w14:paraId="47AF812F" w14:textId="77777777" w:rsidR="00296202" w:rsidRPr="00296202" w:rsidRDefault="00296202" w:rsidP="00296202">
            <w:pPr>
              <w:rPr>
                <w:bCs/>
              </w:rPr>
            </w:pPr>
            <w:r w:rsidRPr="00296202">
              <w:rPr>
                <w:b/>
                <w:bCs/>
              </w:rPr>
              <w:t>NEW FREEDOM (MGD)</w:t>
            </w:r>
          </w:p>
        </w:tc>
        <w:tc>
          <w:tcPr>
            <w:tcW w:w="1544" w:type="dxa"/>
            <w:tcBorders>
              <w:top w:val="single" w:sz="4" w:space="0" w:color="auto"/>
              <w:left w:val="single" w:sz="4" w:space="0" w:color="auto"/>
              <w:bottom w:val="single" w:sz="4" w:space="0" w:color="auto"/>
              <w:right w:val="single" w:sz="4" w:space="0" w:color="auto"/>
            </w:tcBorders>
            <w:hideMark/>
          </w:tcPr>
          <w:p w14:paraId="32FBB6AD" w14:textId="77777777" w:rsidR="00296202" w:rsidRPr="00296202" w:rsidRDefault="00296202" w:rsidP="00296202">
            <w:pPr>
              <w:rPr>
                <w:bCs/>
              </w:rPr>
            </w:pPr>
            <w:r w:rsidRPr="00296202">
              <w:rPr>
                <w:b/>
                <w:bCs/>
              </w:rPr>
              <w:t>%</w:t>
            </w:r>
          </w:p>
        </w:tc>
      </w:tr>
      <w:tr w:rsidR="00296202" w:rsidRPr="00296202" w14:paraId="33DFD081" w14:textId="77777777" w:rsidTr="00296202">
        <w:tc>
          <w:tcPr>
            <w:tcW w:w="1620" w:type="dxa"/>
            <w:tcBorders>
              <w:top w:val="single" w:sz="4" w:space="0" w:color="auto"/>
              <w:left w:val="single" w:sz="4" w:space="0" w:color="auto"/>
              <w:bottom w:val="single" w:sz="4" w:space="0" w:color="auto"/>
              <w:right w:val="single" w:sz="4" w:space="0" w:color="auto"/>
            </w:tcBorders>
            <w:hideMark/>
          </w:tcPr>
          <w:p w14:paraId="5DFD8400" w14:textId="77777777" w:rsidR="00296202" w:rsidRPr="00296202" w:rsidRDefault="00296202" w:rsidP="00296202">
            <w:pPr>
              <w:rPr>
                <w:bCs/>
              </w:rPr>
            </w:pPr>
            <w:r w:rsidRPr="00296202">
              <w:rPr>
                <w:bCs/>
              </w:rPr>
              <w:t>2016</w:t>
            </w:r>
          </w:p>
        </w:tc>
        <w:tc>
          <w:tcPr>
            <w:tcW w:w="2208" w:type="dxa"/>
            <w:tcBorders>
              <w:top w:val="single" w:sz="4" w:space="0" w:color="auto"/>
              <w:left w:val="single" w:sz="4" w:space="0" w:color="auto"/>
              <w:bottom w:val="single" w:sz="4" w:space="0" w:color="auto"/>
              <w:right w:val="single" w:sz="4" w:space="0" w:color="auto"/>
            </w:tcBorders>
            <w:hideMark/>
          </w:tcPr>
          <w:p w14:paraId="61BDD6D4" w14:textId="77777777" w:rsidR="00296202" w:rsidRPr="00296202" w:rsidRDefault="00296202" w:rsidP="00296202">
            <w:pPr>
              <w:rPr>
                <w:bCs/>
              </w:rPr>
            </w:pPr>
            <w:r w:rsidRPr="00296202">
              <w:rPr>
                <w:bCs/>
              </w:rPr>
              <w:t>.624</w:t>
            </w:r>
          </w:p>
        </w:tc>
        <w:tc>
          <w:tcPr>
            <w:tcW w:w="1544" w:type="dxa"/>
            <w:tcBorders>
              <w:top w:val="single" w:sz="4" w:space="0" w:color="auto"/>
              <w:left w:val="single" w:sz="4" w:space="0" w:color="auto"/>
              <w:bottom w:val="single" w:sz="4" w:space="0" w:color="auto"/>
              <w:right w:val="single" w:sz="4" w:space="0" w:color="auto"/>
            </w:tcBorders>
            <w:hideMark/>
          </w:tcPr>
          <w:p w14:paraId="4AE77342" w14:textId="77777777" w:rsidR="00296202" w:rsidRPr="00296202" w:rsidRDefault="00296202" w:rsidP="00296202">
            <w:pPr>
              <w:rPr>
                <w:bCs/>
              </w:rPr>
            </w:pPr>
            <w:r w:rsidRPr="00296202">
              <w:rPr>
                <w:bCs/>
              </w:rPr>
              <w:t>55.1</w:t>
            </w:r>
          </w:p>
        </w:tc>
        <w:tc>
          <w:tcPr>
            <w:tcW w:w="1714" w:type="dxa"/>
            <w:tcBorders>
              <w:top w:val="single" w:sz="4" w:space="0" w:color="auto"/>
              <w:left w:val="single" w:sz="4" w:space="0" w:color="auto"/>
              <w:bottom w:val="single" w:sz="4" w:space="0" w:color="auto"/>
              <w:right w:val="single" w:sz="4" w:space="0" w:color="auto"/>
            </w:tcBorders>
            <w:hideMark/>
          </w:tcPr>
          <w:p w14:paraId="2C3D8890" w14:textId="77777777" w:rsidR="00296202" w:rsidRPr="00296202" w:rsidRDefault="00296202" w:rsidP="00296202">
            <w:pPr>
              <w:rPr>
                <w:bCs/>
              </w:rPr>
            </w:pPr>
            <w:r w:rsidRPr="00296202">
              <w:rPr>
                <w:bCs/>
              </w:rPr>
              <w:t>.508</w:t>
            </w:r>
          </w:p>
        </w:tc>
        <w:tc>
          <w:tcPr>
            <w:tcW w:w="1544" w:type="dxa"/>
            <w:tcBorders>
              <w:top w:val="single" w:sz="4" w:space="0" w:color="auto"/>
              <w:left w:val="single" w:sz="4" w:space="0" w:color="auto"/>
              <w:bottom w:val="single" w:sz="4" w:space="0" w:color="auto"/>
              <w:right w:val="single" w:sz="4" w:space="0" w:color="auto"/>
            </w:tcBorders>
            <w:hideMark/>
          </w:tcPr>
          <w:p w14:paraId="4FACD121" w14:textId="77777777" w:rsidR="00296202" w:rsidRPr="00296202" w:rsidRDefault="00296202" w:rsidP="00296202">
            <w:pPr>
              <w:rPr>
                <w:bCs/>
              </w:rPr>
            </w:pPr>
            <w:r w:rsidRPr="00296202">
              <w:rPr>
                <w:bCs/>
              </w:rPr>
              <w:t>44.9</w:t>
            </w:r>
          </w:p>
        </w:tc>
      </w:tr>
      <w:tr w:rsidR="00296202" w:rsidRPr="00296202" w14:paraId="669C65A0" w14:textId="77777777" w:rsidTr="00296202">
        <w:tc>
          <w:tcPr>
            <w:tcW w:w="1620" w:type="dxa"/>
            <w:tcBorders>
              <w:top w:val="single" w:sz="4" w:space="0" w:color="auto"/>
              <w:left w:val="single" w:sz="4" w:space="0" w:color="auto"/>
              <w:bottom w:val="single" w:sz="4" w:space="0" w:color="auto"/>
              <w:right w:val="single" w:sz="4" w:space="0" w:color="auto"/>
            </w:tcBorders>
            <w:hideMark/>
          </w:tcPr>
          <w:p w14:paraId="2C4EC5D2" w14:textId="77777777" w:rsidR="00296202" w:rsidRPr="00296202" w:rsidRDefault="00296202" w:rsidP="00296202">
            <w:pPr>
              <w:rPr>
                <w:bCs/>
              </w:rPr>
            </w:pPr>
            <w:r w:rsidRPr="00296202">
              <w:rPr>
                <w:bCs/>
              </w:rPr>
              <w:t>2017</w:t>
            </w:r>
          </w:p>
        </w:tc>
        <w:tc>
          <w:tcPr>
            <w:tcW w:w="2208" w:type="dxa"/>
            <w:tcBorders>
              <w:top w:val="single" w:sz="4" w:space="0" w:color="auto"/>
              <w:left w:val="single" w:sz="4" w:space="0" w:color="auto"/>
              <w:bottom w:val="single" w:sz="4" w:space="0" w:color="auto"/>
              <w:right w:val="single" w:sz="4" w:space="0" w:color="auto"/>
            </w:tcBorders>
            <w:hideMark/>
          </w:tcPr>
          <w:p w14:paraId="6507E4C6" w14:textId="77777777" w:rsidR="00296202" w:rsidRPr="00296202" w:rsidRDefault="00296202" w:rsidP="00296202">
            <w:pPr>
              <w:rPr>
                <w:bCs/>
              </w:rPr>
            </w:pPr>
            <w:r w:rsidRPr="00296202">
              <w:rPr>
                <w:bCs/>
              </w:rPr>
              <w:t>.602</w:t>
            </w:r>
          </w:p>
        </w:tc>
        <w:tc>
          <w:tcPr>
            <w:tcW w:w="1544" w:type="dxa"/>
            <w:tcBorders>
              <w:top w:val="single" w:sz="4" w:space="0" w:color="auto"/>
              <w:left w:val="single" w:sz="4" w:space="0" w:color="auto"/>
              <w:bottom w:val="single" w:sz="4" w:space="0" w:color="auto"/>
              <w:right w:val="single" w:sz="4" w:space="0" w:color="auto"/>
            </w:tcBorders>
            <w:hideMark/>
          </w:tcPr>
          <w:p w14:paraId="7AE077D0" w14:textId="77777777" w:rsidR="00296202" w:rsidRPr="00296202" w:rsidRDefault="00296202" w:rsidP="00296202">
            <w:pPr>
              <w:rPr>
                <w:bCs/>
              </w:rPr>
            </w:pPr>
            <w:r w:rsidRPr="00296202">
              <w:rPr>
                <w:bCs/>
              </w:rPr>
              <w:t>55.0</w:t>
            </w:r>
          </w:p>
        </w:tc>
        <w:tc>
          <w:tcPr>
            <w:tcW w:w="1714" w:type="dxa"/>
            <w:tcBorders>
              <w:top w:val="single" w:sz="4" w:space="0" w:color="auto"/>
              <w:left w:val="single" w:sz="4" w:space="0" w:color="auto"/>
              <w:bottom w:val="single" w:sz="4" w:space="0" w:color="auto"/>
              <w:right w:val="single" w:sz="4" w:space="0" w:color="auto"/>
            </w:tcBorders>
            <w:hideMark/>
          </w:tcPr>
          <w:p w14:paraId="10615862" w14:textId="77777777" w:rsidR="00296202" w:rsidRPr="00296202" w:rsidRDefault="00296202" w:rsidP="00296202">
            <w:pPr>
              <w:rPr>
                <w:bCs/>
              </w:rPr>
            </w:pPr>
            <w:r w:rsidRPr="00296202">
              <w:rPr>
                <w:bCs/>
              </w:rPr>
              <w:t>.492</w:t>
            </w:r>
          </w:p>
        </w:tc>
        <w:tc>
          <w:tcPr>
            <w:tcW w:w="1544" w:type="dxa"/>
            <w:tcBorders>
              <w:top w:val="single" w:sz="4" w:space="0" w:color="auto"/>
              <w:left w:val="single" w:sz="4" w:space="0" w:color="auto"/>
              <w:bottom w:val="single" w:sz="4" w:space="0" w:color="auto"/>
              <w:right w:val="single" w:sz="4" w:space="0" w:color="auto"/>
            </w:tcBorders>
            <w:hideMark/>
          </w:tcPr>
          <w:p w14:paraId="018857C9" w14:textId="77777777" w:rsidR="00296202" w:rsidRPr="00296202" w:rsidRDefault="00296202" w:rsidP="00296202">
            <w:pPr>
              <w:rPr>
                <w:bCs/>
              </w:rPr>
            </w:pPr>
            <w:r w:rsidRPr="00296202">
              <w:rPr>
                <w:bCs/>
              </w:rPr>
              <w:t>45.0</w:t>
            </w:r>
          </w:p>
        </w:tc>
      </w:tr>
      <w:tr w:rsidR="00296202" w:rsidRPr="00296202" w14:paraId="5BA9D0E3" w14:textId="77777777" w:rsidTr="00296202">
        <w:tc>
          <w:tcPr>
            <w:tcW w:w="1620" w:type="dxa"/>
            <w:tcBorders>
              <w:top w:val="single" w:sz="4" w:space="0" w:color="auto"/>
              <w:left w:val="single" w:sz="4" w:space="0" w:color="auto"/>
              <w:bottom w:val="single" w:sz="4" w:space="0" w:color="auto"/>
              <w:right w:val="single" w:sz="4" w:space="0" w:color="auto"/>
            </w:tcBorders>
            <w:hideMark/>
          </w:tcPr>
          <w:p w14:paraId="18F3A064" w14:textId="77777777" w:rsidR="00296202" w:rsidRPr="00296202" w:rsidRDefault="00296202" w:rsidP="00296202">
            <w:pPr>
              <w:rPr>
                <w:bCs/>
              </w:rPr>
            </w:pPr>
            <w:r w:rsidRPr="00296202">
              <w:rPr>
                <w:bCs/>
              </w:rPr>
              <w:t>2018</w:t>
            </w:r>
          </w:p>
        </w:tc>
        <w:tc>
          <w:tcPr>
            <w:tcW w:w="2208" w:type="dxa"/>
            <w:tcBorders>
              <w:top w:val="single" w:sz="4" w:space="0" w:color="auto"/>
              <w:left w:val="single" w:sz="4" w:space="0" w:color="auto"/>
              <w:bottom w:val="single" w:sz="4" w:space="0" w:color="auto"/>
              <w:right w:val="single" w:sz="4" w:space="0" w:color="auto"/>
            </w:tcBorders>
            <w:hideMark/>
          </w:tcPr>
          <w:p w14:paraId="555CE588" w14:textId="77777777" w:rsidR="00296202" w:rsidRPr="00296202" w:rsidRDefault="00296202" w:rsidP="00296202">
            <w:pPr>
              <w:rPr>
                <w:bCs/>
              </w:rPr>
            </w:pPr>
            <w:r w:rsidRPr="00296202">
              <w:rPr>
                <w:bCs/>
              </w:rPr>
              <w:t>.796</w:t>
            </w:r>
          </w:p>
        </w:tc>
        <w:tc>
          <w:tcPr>
            <w:tcW w:w="1544" w:type="dxa"/>
            <w:tcBorders>
              <w:top w:val="single" w:sz="4" w:space="0" w:color="auto"/>
              <w:left w:val="single" w:sz="4" w:space="0" w:color="auto"/>
              <w:bottom w:val="single" w:sz="4" w:space="0" w:color="auto"/>
              <w:right w:val="single" w:sz="4" w:space="0" w:color="auto"/>
            </w:tcBorders>
            <w:hideMark/>
          </w:tcPr>
          <w:p w14:paraId="67DE7E00" w14:textId="77777777" w:rsidR="00296202" w:rsidRPr="00296202" w:rsidRDefault="00296202" w:rsidP="00296202">
            <w:pPr>
              <w:rPr>
                <w:bCs/>
              </w:rPr>
            </w:pPr>
            <w:r w:rsidRPr="00296202">
              <w:rPr>
                <w:bCs/>
              </w:rPr>
              <w:t>54.9</w:t>
            </w:r>
          </w:p>
        </w:tc>
        <w:tc>
          <w:tcPr>
            <w:tcW w:w="1714" w:type="dxa"/>
            <w:tcBorders>
              <w:top w:val="single" w:sz="4" w:space="0" w:color="auto"/>
              <w:left w:val="single" w:sz="4" w:space="0" w:color="auto"/>
              <w:bottom w:val="single" w:sz="4" w:space="0" w:color="auto"/>
              <w:right w:val="single" w:sz="4" w:space="0" w:color="auto"/>
            </w:tcBorders>
            <w:hideMark/>
          </w:tcPr>
          <w:p w14:paraId="5D94BFE8" w14:textId="77777777" w:rsidR="00296202" w:rsidRPr="00296202" w:rsidRDefault="00296202" w:rsidP="00296202">
            <w:pPr>
              <w:rPr>
                <w:bCs/>
              </w:rPr>
            </w:pPr>
            <w:r w:rsidRPr="00296202">
              <w:rPr>
                <w:bCs/>
              </w:rPr>
              <w:t>.654</w:t>
            </w:r>
          </w:p>
        </w:tc>
        <w:tc>
          <w:tcPr>
            <w:tcW w:w="1544" w:type="dxa"/>
            <w:tcBorders>
              <w:top w:val="single" w:sz="4" w:space="0" w:color="auto"/>
              <w:left w:val="single" w:sz="4" w:space="0" w:color="auto"/>
              <w:bottom w:val="single" w:sz="4" w:space="0" w:color="auto"/>
              <w:right w:val="single" w:sz="4" w:space="0" w:color="auto"/>
            </w:tcBorders>
            <w:hideMark/>
          </w:tcPr>
          <w:p w14:paraId="2E93156D" w14:textId="77777777" w:rsidR="00296202" w:rsidRPr="00296202" w:rsidRDefault="00296202" w:rsidP="00296202">
            <w:pPr>
              <w:rPr>
                <w:bCs/>
              </w:rPr>
            </w:pPr>
            <w:r w:rsidRPr="00296202">
              <w:rPr>
                <w:bCs/>
              </w:rPr>
              <w:t>45.1</w:t>
            </w:r>
          </w:p>
        </w:tc>
      </w:tr>
      <w:tr w:rsidR="00296202" w:rsidRPr="00296202" w14:paraId="61FF97C3" w14:textId="77777777" w:rsidTr="00296202">
        <w:tc>
          <w:tcPr>
            <w:tcW w:w="1620" w:type="dxa"/>
            <w:tcBorders>
              <w:top w:val="single" w:sz="4" w:space="0" w:color="auto"/>
              <w:left w:val="single" w:sz="4" w:space="0" w:color="auto"/>
              <w:bottom w:val="single" w:sz="4" w:space="0" w:color="auto"/>
              <w:right w:val="single" w:sz="4" w:space="0" w:color="auto"/>
            </w:tcBorders>
            <w:hideMark/>
          </w:tcPr>
          <w:p w14:paraId="1CBF6996" w14:textId="77777777" w:rsidR="00296202" w:rsidRPr="00296202" w:rsidRDefault="00296202" w:rsidP="00296202">
            <w:pPr>
              <w:rPr>
                <w:bCs/>
              </w:rPr>
            </w:pPr>
            <w:r w:rsidRPr="00296202">
              <w:rPr>
                <w:bCs/>
              </w:rPr>
              <w:t>2019</w:t>
            </w:r>
          </w:p>
        </w:tc>
        <w:tc>
          <w:tcPr>
            <w:tcW w:w="2208" w:type="dxa"/>
            <w:tcBorders>
              <w:top w:val="single" w:sz="4" w:space="0" w:color="auto"/>
              <w:left w:val="single" w:sz="4" w:space="0" w:color="auto"/>
              <w:bottom w:val="single" w:sz="4" w:space="0" w:color="auto"/>
              <w:right w:val="single" w:sz="4" w:space="0" w:color="auto"/>
            </w:tcBorders>
            <w:hideMark/>
          </w:tcPr>
          <w:p w14:paraId="76426027" w14:textId="77777777" w:rsidR="00296202" w:rsidRPr="00296202" w:rsidRDefault="00296202" w:rsidP="00296202">
            <w:pPr>
              <w:rPr>
                <w:bCs/>
              </w:rPr>
            </w:pPr>
            <w:r w:rsidRPr="00296202">
              <w:rPr>
                <w:bCs/>
              </w:rPr>
              <w:t>.680</w:t>
            </w:r>
          </w:p>
        </w:tc>
        <w:tc>
          <w:tcPr>
            <w:tcW w:w="1544" w:type="dxa"/>
            <w:tcBorders>
              <w:top w:val="single" w:sz="4" w:space="0" w:color="auto"/>
              <w:left w:val="single" w:sz="4" w:space="0" w:color="auto"/>
              <w:bottom w:val="single" w:sz="4" w:space="0" w:color="auto"/>
              <w:right w:val="single" w:sz="4" w:space="0" w:color="auto"/>
            </w:tcBorders>
            <w:hideMark/>
          </w:tcPr>
          <w:p w14:paraId="6B6FAF00" w14:textId="77777777" w:rsidR="00296202" w:rsidRPr="00296202" w:rsidRDefault="00296202" w:rsidP="00296202">
            <w:pPr>
              <w:rPr>
                <w:bCs/>
              </w:rPr>
            </w:pPr>
            <w:r w:rsidRPr="00296202">
              <w:rPr>
                <w:bCs/>
              </w:rPr>
              <w:t>52.0</w:t>
            </w:r>
          </w:p>
        </w:tc>
        <w:tc>
          <w:tcPr>
            <w:tcW w:w="1714" w:type="dxa"/>
            <w:tcBorders>
              <w:top w:val="single" w:sz="4" w:space="0" w:color="auto"/>
              <w:left w:val="single" w:sz="4" w:space="0" w:color="auto"/>
              <w:bottom w:val="single" w:sz="4" w:space="0" w:color="auto"/>
              <w:right w:val="single" w:sz="4" w:space="0" w:color="auto"/>
            </w:tcBorders>
            <w:hideMark/>
          </w:tcPr>
          <w:p w14:paraId="36999680" w14:textId="77777777" w:rsidR="00296202" w:rsidRPr="00296202" w:rsidRDefault="00296202" w:rsidP="00296202">
            <w:pPr>
              <w:rPr>
                <w:bCs/>
              </w:rPr>
            </w:pPr>
            <w:r w:rsidRPr="00296202">
              <w:rPr>
                <w:bCs/>
              </w:rPr>
              <w:t>.628</w:t>
            </w:r>
          </w:p>
        </w:tc>
        <w:tc>
          <w:tcPr>
            <w:tcW w:w="1544" w:type="dxa"/>
            <w:tcBorders>
              <w:top w:val="single" w:sz="4" w:space="0" w:color="auto"/>
              <w:left w:val="single" w:sz="4" w:space="0" w:color="auto"/>
              <w:bottom w:val="single" w:sz="4" w:space="0" w:color="auto"/>
              <w:right w:val="single" w:sz="4" w:space="0" w:color="auto"/>
            </w:tcBorders>
            <w:hideMark/>
          </w:tcPr>
          <w:p w14:paraId="3D2F7DF3" w14:textId="77777777" w:rsidR="00296202" w:rsidRPr="00296202" w:rsidRDefault="00296202" w:rsidP="00296202">
            <w:pPr>
              <w:rPr>
                <w:bCs/>
              </w:rPr>
            </w:pPr>
            <w:r w:rsidRPr="00296202">
              <w:rPr>
                <w:bCs/>
              </w:rPr>
              <w:t>48.0</w:t>
            </w:r>
          </w:p>
        </w:tc>
      </w:tr>
      <w:tr w:rsidR="00296202" w:rsidRPr="00296202" w14:paraId="4CF523E5" w14:textId="77777777" w:rsidTr="00296202">
        <w:tc>
          <w:tcPr>
            <w:tcW w:w="1620" w:type="dxa"/>
            <w:tcBorders>
              <w:top w:val="single" w:sz="4" w:space="0" w:color="auto"/>
              <w:left w:val="single" w:sz="4" w:space="0" w:color="auto"/>
              <w:bottom w:val="single" w:sz="4" w:space="0" w:color="auto"/>
              <w:right w:val="single" w:sz="4" w:space="0" w:color="auto"/>
            </w:tcBorders>
            <w:hideMark/>
          </w:tcPr>
          <w:p w14:paraId="256DEE6E" w14:textId="77777777" w:rsidR="00296202" w:rsidRPr="00296202" w:rsidRDefault="00296202" w:rsidP="00296202">
            <w:pPr>
              <w:rPr>
                <w:bCs/>
              </w:rPr>
            </w:pPr>
            <w:r w:rsidRPr="00296202">
              <w:rPr>
                <w:bCs/>
              </w:rPr>
              <w:t>2020</w:t>
            </w:r>
          </w:p>
        </w:tc>
        <w:tc>
          <w:tcPr>
            <w:tcW w:w="2208" w:type="dxa"/>
            <w:tcBorders>
              <w:top w:val="single" w:sz="4" w:space="0" w:color="auto"/>
              <w:left w:val="single" w:sz="4" w:space="0" w:color="auto"/>
              <w:bottom w:val="single" w:sz="4" w:space="0" w:color="auto"/>
              <w:right w:val="single" w:sz="4" w:space="0" w:color="auto"/>
            </w:tcBorders>
            <w:hideMark/>
          </w:tcPr>
          <w:p w14:paraId="0560BC98" w14:textId="77777777" w:rsidR="00296202" w:rsidRPr="00296202" w:rsidRDefault="00296202" w:rsidP="00296202">
            <w:pPr>
              <w:rPr>
                <w:bCs/>
              </w:rPr>
            </w:pPr>
            <w:r w:rsidRPr="00296202">
              <w:rPr>
                <w:bCs/>
              </w:rPr>
              <w:t>.592</w:t>
            </w:r>
          </w:p>
        </w:tc>
        <w:tc>
          <w:tcPr>
            <w:tcW w:w="1544" w:type="dxa"/>
            <w:tcBorders>
              <w:top w:val="single" w:sz="4" w:space="0" w:color="auto"/>
              <w:left w:val="single" w:sz="4" w:space="0" w:color="auto"/>
              <w:bottom w:val="single" w:sz="4" w:space="0" w:color="auto"/>
              <w:right w:val="single" w:sz="4" w:space="0" w:color="auto"/>
            </w:tcBorders>
            <w:hideMark/>
          </w:tcPr>
          <w:p w14:paraId="6B2FC365" w14:textId="77777777" w:rsidR="00296202" w:rsidRPr="00296202" w:rsidRDefault="00296202" w:rsidP="00296202">
            <w:pPr>
              <w:rPr>
                <w:bCs/>
              </w:rPr>
            </w:pPr>
            <w:r w:rsidRPr="00296202">
              <w:rPr>
                <w:bCs/>
              </w:rPr>
              <w:t>51.2</w:t>
            </w:r>
          </w:p>
        </w:tc>
        <w:tc>
          <w:tcPr>
            <w:tcW w:w="1714" w:type="dxa"/>
            <w:tcBorders>
              <w:top w:val="single" w:sz="4" w:space="0" w:color="auto"/>
              <w:left w:val="single" w:sz="4" w:space="0" w:color="auto"/>
              <w:bottom w:val="single" w:sz="4" w:space="0" w:color="auto"/>
              <w:right w:val="single" w:sz="4" w:space="0" w:color="auto"/>
            </w:tcBorders>
            <w:hideMark/>
          </w:tcPr>
          <w:p w14:paraId="2267F207" w14:textId="77777777" w:rsidR="00296202" w:rsidRPr="00296202" w:rsidRDefault="00296202" w:rsidP="00296202">
            <w:pPr>
              <w:rPr>
                <w:bCs/>
              </w:rPr>
            </w:pPr>
            <w:r w:rsidRPr="00296202">
              <w:rPr>
                <w:bCs/>
              </w:rPr>
              <w:t>.564</w:t>
            </w:r>
          </w:p>
        </w:tc>
        <w:tc>
          <w:tcPr>
            <w:tcW w:w="1544" w:type="dxa"/>
            <w:tcBorders>
              <w:top w:val="single" w:sz="4" w:space="0" w:color="auto"/>
              <w:left w:val="single" w:sz="4" w:space="0" w:color="auto"/>
              <w:bottom w:val="single" w:sz="4" w:space="0" w:color="auto"/>
              <w:right w:val="single" w:sz="4" w:space="0" w:color="auto"/>
            </w:tcBorders>
            <w:hideMark/>
          </w:tcPr>
          <w:p w14:paraId="08BCC599" w14:textId="77777777" w:rsidR="00296202" w:rsidRPr="00296202" w:rsidRDefault="00296202" w:rsidP="00296202">
            <w:pPr>
              <w:rPr>
                <w:bCs/>
              </w:rPr>
            </w:pPr>
            <w:r w:rsidRPr="00296202">
              <w:rPr>
                <w:bCs/>
              </w:rPr>
              <w:t>48.8</w:t>
            </w:r>
          </w:p>
        </w:tc>
      </w:tr>
      <w:tr w:rsidR="00296202" w:rsidRPr="00296202" w14:paraId="035F96B1" w14:textId="77777777" w:rsidTr="00296202">
        <w:tc>
          <w:tcPr>
            <w:tcW w:w="1620" w:type="dxa"/>
            <w:tcBorders>
              <w:top w:val="single" w:sz="4" w:space="0" w:color="auto"/>
              <w:left w:val="single" w:sz="4" w:space="0" w:color="auto"/>
              <w:bottom w:val="single" w:sz="4" w:space="0" w:color="auto"/>
              <w:right w:val="single" w:sz="4" w:space="0" w:color="auto"/>
            </w:tcBorders>
            <w:hideMark/>
          </w:tcPr>
          <w:p w14:paraId="736EF390" w14:textId="77777777" w:rsidR="00296202" w:rsidRPr="00296202" w:rsidRDefault="00296202" w:rsidP="00296202">
            <w:pPr>
              <w:rPr>
                <w:bCs/>
              </w:rPr>
            </w:pPr>
            <w:r w:rsidRPr="00296202">
              <w:rPr>
                <w:bCs/>
              </w:rPr>
              <w:t>2021</w:t>
            </w:r>
          </w:p>
        </w:tc>
        <w:tc>
          <w:tcPr>
            <w:tcW w:w="2208" w:type="dxa"/>
            <w:tcBorders>
              <w:top w:val="single" w:sz="4" w:space="0" w:color="auto"/>
              <w:left w:val="single" w:sz="4" w:space="0" w:color="auto"/>
              <w:bottom w:val="single" w:sz="4" w:space="0" w:color="auto"/>
              <w:right w:val="single" w:sz="4" w:space="0" w:color="auto"/>
            </w:tcBorders>
            <w:hideMark/>
          </w:tcPr>
          <w:p w14:paraId="0282C052" w14:textId="77777777" w:rsidR="00296202" w:rsidRPr="00296202" w:rsidRDefault="00296202" w:rsidP="00296202">
            <w:pPr>
              <w:rPr>
                <w:bCs/>
              </w:rPr>
            </w:pPr>
            <w:r w:rsidRPr="00296202">
              <w:rPr>
                <w:bCs/>
              </w:rPr>
              <w:t>.644</w:t>
            </w:r>
          </w:p>
        </w:tc>
        <w:tc>
          <w:tcPr>
            <w:tcW w:w="1544" w:type="dxa"/>
            <w:tcBorders>
              <w:top w:val="single" w:sz="4" w:space="0" w:color="auto"/>
              <w:left w:val="single" w:sz="4" w:space="0" w:color="auto"/>
              <w:bottom w:val="single" w:sz="4" w:space="0" w:color="auto"/>
              <w:right w:val="single" w:sz="4" w:space="0" w:color="auto"/>
            </w:tcBorders>
            <w:hideMark/>
          </w:tcPr>
          <w:p w14:paraId="6D18B791" w14:textId="77777777" w:rsidR="00296202" w:rsidRPr="00296202" w:rsidRDefault="00296202" w:rsidP="00296202">
            <w:pPr>
              <w:rPr>
                <w:bCs/>
              </w:rPr>
            </w:pPr>
            <w:r w:rsidRPr="00296202">
              <w:rPr>
                <w:bCs/>
              </w:rPr>
              <w:t>51.7</w:t>
            </w:r>
          </w:p>
        </w:tc>
        <w:tc>
          <w:tcPr>
            <w:tcW w:w="1714" w:type="dxa"/>
            <w:tcBorders>
              <w:top w:val="single" w:sz="4" w:space="0" w:color="auto"/>
              <w:left w:val="single" w:sz="4" w:space="0" w:color="auto"/>
              <w:bottom w:val="single" w:sz="4" w:space="0" w:color="auto"/>
              <w:right w:val="single" w:sz="4" w:space="0" w:color="auto"/>
            </w:tcBorders>
            <w:hideMark/>
          </w:tcPr>
          <w:p w14:paraId="68473534" w14:textId="77777777" w:rsidR="00296202" w:rsidRPr="00296202" w:rsidRDefault="00296202" w:rsidP="00296202">
            <w:pPr>
              <w:rPr>
                <w:bCs/>
              </w:rPr>
            </w:pPr>
            <w:r w:rsidRPr="00296202">
              <w:rPr>
                <w:bCs/>
              </w:rPr>
              <w:t>.602</w:t>
            </w:r>
          </w:p>
        </w:tc>
        <w:tc>
          <w:tcPr>
            <w:tcW w:w="1544" w:type="dxa"/>
            <w:tcBorders>
              <w:top w:val="single" w:sz="4" w:space="0" w:color="auto"/>
              <w:left w:val="single" w:sz="4" w:space="0" w:color="auto"/>
              <w:bottom w:val="single" w:sz="4" w:space="0" w:color="auto"/>
              <w:right w:val="single" w:sz="4" w:space="0" w:color="auto"/>
            </w:tcBorders>
            <w:hideMark/>
          </w:tcPr>
          <w:p w14:paraId="0ED102A8" w14:textId="77777777" w:rsidR="00296202" w:rsidRPr="00296202" w:rsidRDefault="00296202" w:rsidP="00296202">
            <w:pPr>
              <w:rPr>
                <w:bCs/>
              </w:rPr>
            </w:pPr>
            <w:r w:rsidRPr="00296202">
              <w:rPr>
                <w:bCs/>
              </w:rPr>
              <w:t>48.3</w:t>
            </w:r>
          </w:p>
        </w:tc>
      </w:tr>
      <w:tr w:rsidR="00296202" w:rsidRPr="00296202" w14:paraId="061A7711" w14:textId="77777777" w:rsidTr="00296202">
        <w:tc>
          <w:tcPr>
            <w:tcW w:w="1620" w:type="dxa"/>
            <w:tcBorders>
              <w:top w:val="single" w:sz="4" w:space="0" w:color="auto"/>
              <w:left w:val="single" w:sz="4" w:space="0" w:color="auto"/>
              <w:bottom w:val="single" w:sz="4" w:space="0" w:color="auto"/>
              <w:right w:val="single" w:sz="4" w:space="0" w:color="auto"/>
            </w:tcBorders>
            <w:hideMark/>
          </w:tcPr>
          <w:p w14:paraId="0524A57F" w14:textId="77777777" w:rsidR="00296202" w:rsidRPr="00296202" w:rsidRDefault="00296202" w:rsidP="00296202">
            <w:pPr>
              <w:rPr>
                <w:bCs/>
              </w:rPr>
            </w:pPr>
            <w:r w:rsidRPr="00296202">
              <w:rPr>
                <w:bCs/>
              </w:rPr>
              <w:t>2022</w:t>
            </w:r>
          </w:p>
        </w:tc>
        <w:tc>
          <w:tcPr>
            <w:tcW w:w="2208" w:type="dxa"/>
            <w:tcBorders>
              <w:top w:val="single" w:sz="4" w:space="0" w:color="auto"/>
              <w:left w:val="single" w:sz="4" w:space="0" w:color="auto"/>
              <w:bottom w:val="single" w:sz="4" w:space="0" w:color="auto"/>
              <w:right w:val="single" w:sz="4" w:space="0" w:color="auto"/>
            </w:tcBorders>
            <w:hideMark/>
          </w:tcPr>
          <w:p w14:paraId="69EDBE85" w14:textId="77777777" w:rsidR="00296202" w:rsidRPr="00296202" w:rsidRDefault="00296202" w:rsidP="00296202">
            <w:pPr>
              <w:rPr>
                <w:bCs/>
              </w:rPr>
            </w:pPr>
            <w:r w:rsidRPr="00296202">
              <w:rPr>
                <w:bCs/>
              </w:rPr>
              <w:t>.667</w:t>
            </w:r>
          </w:p>
        </w:tc>
        <w:tc>
          <w:tcPr>
            <w:tcW w:w="1544" w:type="dxa"/>
            <w:tcBorders>
              <w:top w:val="single" w:sz="4" w:space="0" w:color="auto"/>
              <w:left w:val="single" w:sz="4" w:space="0" w:color="auto"/>
              <w:bottom w:val="single" w:sz="4" w:space="0" w:color="auto"/>
              <w:right w:val="single" w:sz="4" w:space="0" w:color="auto"/>
            </w:tcBorders>
            <w:hideMark/>
          </w:tcPr>
          <w:p w14:paraId="60B2D5CC" w14:textId="77777777" w:rsidR="00296202" w:rsidRPr="00296202" w:rsidRDefault="00296202" w:rsidP="00296202">
            <w:pPr>
              <w:rPr>
                <w:bCs/>
              </w:rPr>
            </w:pPr>
            <w:r w:rsidRPr="00296202">
              <w:rPr>
                <w:bCs/>
              </w:rPr>
              <w:t>50.8</w:t>
            </w:r>
          </w:p>
        </w:tc>
        <w:tc>
          <w:tcPr>
            <w:tcW w:w="1714" w:type="dxa"/>
            <w:tcBorders>
              <w:top w:val="single" w:sz="4" w:space="0" w:color="auto"/>
              <w:left w:val="single" w:sz="4" w:space="0" w:color="auto"/>
              <w:bottom w:val="single" w:sz="4" w:space="0" w:color="auto"/>
              <w:right w:val="single" w:sz="4" w:space="0" w:color="auto"/>
            </w:tcBorders>
            <w:hideMark/>
          </w:tcPr>
          <w:p w14:paraId="47C0D903" w14:textId="77777777" w:rsidR="00296202" w:rsidRPr="00296202" w:rsidRDefault="00296202" w:rsidP="00296202">
            <w:pPr>
              <w:rPr>
                <w:bCs/>
              </w:rPr>
            </w:pPr>
            <w:r w:rsidRPr="00296202">
              <w:rPr>
                <w:bCs/>
              </w:rPr>
              <w:t>.646</w:t>
            </w:r>
          </w:p>
        </w:tc>
        <w:tc>
          <w:tcPr>
            <w:tcW w:w="1544" w:type="dxa"/>
            <w:tcBorders>
              <w:top w:val="single" w:sz="4" w:space="0" w:color="auto"/>
              <w:left w:val="single" w:sz="4" w:space="0" w:color="auto"/>
              <w:bottom w:val="single" w:sz="4" w:space="0" w:color="auto"/>
              <w:right w:val="single" w:sz="4" w:space="0" w:color="auto"/>
            </w:tcBorders>
            <w:hideMark/>
          </w:tcPr>
          <w:p w14:paraId="4C522321" w14:textId="77777777" w:rsidR="00296202" w:rsidRPr="00296202" w:rsidRDefault="00296202" w:rsidP="00296202">
            <w:pPr>
              <w:rPr>
                <w:bCs/>
              </w:rPr>
            </w:pPr>
            <w:r w:rsidRPr="00296202">
              <w:rPr>
                <w:bCs/>
              </w:rPr>
              <w:t>49.2</w:t>
            </w:r>
          </w:p>
        </w:tc>
      </w:tr>
      <w:tr w:rsidR="00296202" w:rsidRPr="00296202" w14:paraId="3B2036B3" w14:textId="77777777" w:rsidTr="00296202">
        <w:tc>
          <w:tcPr>
            <w:tcW w:w="1620" w:type="dxa"/>
            <w:tcBorders>
              <w:top w:val="single" w:sz="4" w:space="0" w:color="auto"/>
              <w:left w:val="single" w:sz="4" w:space="0" w:color="auto"/>
              <w:bottom w:val="single" w:sz="4" w:space="0" w:color="auto"/>
              <w:right w:val="single" w:sz="4" w:space="0" w:color="auto"/>
            </w:tcBorders>
            <w:hideMark/>
          </w:tcPr>
          <w:p w14:paraId="405684FE" w14:textId="77777777" w:rsidR="00296202" w:rsidRPr="00296202" w:rsidRDefault="00296202" w:rsidP="00296202">
            <w:pPr>
              <w:rPr>
                <w:bCs/>
              </w:rPr>
            </w:pPr>
            <w:r w:rsidRPr="00296202">
              <w:rPr>
                <w:bCs/>
              </w:rPr>
              <w:t>2023</w:t>
            </w:r>
          </w:p>
        </w:tc>
        <w:tc>
          <w:tcPr>
            <w:tcW w:w="2208" w:type="dxa"/>
            <w:tcBorders>
              <w:top w:val="single" w:sz="4" w:space="0" w:color="auto"/>
              <w:left w:val="single" w:sz="4" w:space="0" w:color="auto"/>
              <w:bottom w:val="single" w:sz="4" w:space="0" w:color="auto"/>
              <w:right w:val="single" w:sz="4" w:space="0" w:color="auto"/>
            </w:tcBorders>
            <w:hideMark/>
          </w:tcPr>
          <w:p w14:paraId="5238D87E" w14:textId="77777777" w:rsidR="00296202" w:rsidRPr="00296202" w:rsidRDefault="00296202" w:rsidP="00296202">
            <w:pPr>
              <w:rPr>
                <w:bCs/>
              </w:rPr>
            </w:pPr>
            <w:r w:rsidRPr="00296202">
              <w:rPr>
                <w:bCs/>
              </w:rPr>
              <w:t>.639</w:t>
            </w:r>
          </w:p>
        </w:tc>
        <w:tc>
          <w:tcPr>
            <w:tcW w:w="1544" w:type="dxa"/>
            <w:tcBorders>
              <w:top w:val="single" w:sz="4" w:space="0" w:color="auto"/>
              <w:left w:val="single" w:sz="4" w:space="0" w:color="auto"/>
              <w:bottom w:val="single" w:sz="4" w:space="0" w:color="auto"/>
              <w:right w:val="single" w:sz="4" w:space="0" w:color="auto"/>
            </w:tcBorders>
            <w:hideMark/>
          </w:tcPr>
          <w:p w14:paraId="69D639E7" w14:textId="77777777" w:rsidR="00296202" w:rsidRPr="00296202" w:rsidRDefault="00296202" w:rsidP="00296202">
            <w:pPr>
              <w:rPr>
                <w:bCs/>
              </w:rPr>
            </w:pPr>
            <w:r w:rsidRPr="00296202">
              <w:rPr>
                <w:bCs/>
              </w:rPr>
              <w:t>51.4</w:t>
            </w:r>
          </w:p>
        </w:tc>
        <w:tc>
          <w:tcPr>
            <w:tcW w:w="1714" w:type="dxa"/>
            <w:tcBorders>
              <w:top w:val="single" w:sz="4" w:space="0" w:color="auto"/>
              <w:left w:val="single" w:sz="4" w:space="0" w:color="auto"/>
              <w:bottom w:val="single" w:sz="4" w:space="0" w:color="auto"/>
              <w:right w:val="single" w:sz="4" w:space="0" w:color="auto"/>
            </w:tcBorders>
            <w:hideMark/>
          </w:tcPr>
          <w:p w14:paraId="5A7854D8" w14:textId="77777777" w:rsidR="00296202" w:rsidRPr="00296202" w:rsidRDefault="00296202" w:rsidP="00296202">
            <w:pPr>
              <w:rPr>
                <w:bCs/>
              </w:rPr>
            </w:pPr>
            <w:r w:rsidRPr="00296202">
              <w:rPr>
                <w:bCs/>
              </w:rPr>
              <w:t>.605</w:t>
            </w:r>
          </w:p>
        </w:tc>
        <w:tc>
          <w:tcPr>
            <w:tcW w:w="1544" w:type="dxa"/>
            <w:tcBorders>
              <w:top w:val="single" w:sz="4" w:space="0" w:color="auto"/>
              <w:left w:val="single" w:sz="4" w:space="0" w:color="auto"/>
              <w:bottom w:val="single" w:sz="4" w:space="0" w:color="auto"/>
              <w:right w:val="single" w:sz="4" w:space="0" w:color="auto"/>
            </w:tcBorders>
            <w:hideMark/>
          </w:tcPr>
          <w:p w14:paraId="555BBAF5" w14:textId="77777777" w:rsidR="00296202" w:rsidRPr="00296202" w:rsidRDefault="00296202" w:rsidP="00296202">
            <w:pPr>
              <w:rPr>
                <w:bCs/>
              </w:rPr>
            </w:pPr>
            <w:r w:rsidRPr="00296202">
              <w:rPr>
                <w:bCs/>
              </w:rPr>
              <w:t>48.6</w:t>
            </w:r>
          </w:p>
        </w:tc>
      </w:tr>
      <w:tr w:rsidR="00296202" w:rsidRPr="00296202" w14:paraId="30F8D846" w14:textId="77777777" w:rsidTr="00296202">
        <w:tc>
          <w:tcPr>
            <w:tcW w:w="1620" w:type="dxa"/>
            <w:tcBorders>
              <w:top w:val="single" w:sz="4" w:space="0" w:color="auto"/>
              <w:left w:val="single" w:sz="4" w:space="0" w:color="auto"/>
              <w:bottom w:val="single" w:sz="4" w:space="0" w:color="auto"/>
              <w:right w:val="single" w:sz="4" w:space="0" w:color="auto"/>
            </w:tcBorders>
            <w:hideMark/>
          </w:tcPr>
          <w:p w14:paraId="5DDF47DE" w14:textId="77777777" w:rsidR="00296202" w:rsidRPr="00296202" w:rsidRDefault="00296202" w:rsidP="00296202">
            <w:pPr>
              <w:rPr>
                <w:bCs/>
              </w:rPr>
            </w:pPr>
            <w:r w:rsidRPr="00296202">
              <w:rPr>
                <w:bCs/>
              </w:rPr>
              <w:t>2024</w:t>
            </w:r>
          </w:p>
        </w:tc>
        <w:tc>
          <w:tcPr>
            <w:tcW w:w="2208" w:type="dxa"/>
            <w:tcBorders>
              <w:top w:val="single" w:sz="4" w:space="0" w:color="auto"/>
              <w:left w:val="single" w:sz="4" w:space="0" w:color="auto"/>
              <w:bottom w:val="single" w:sz="4" w:space="0" w:color="auto"/>
              <w:right w:val="single" w:sz="4" w:space="0" w:color="auto"/>
            </w:tcBorders>
            <w:hideMark/>
          </w:tcPr>
          <w:p w14:paraId="59D4FD7E" w14:textId="77777777" w:rsidR="00296202" w:rsidRPr="00296202" w:rsidRDefault="00296202" w:rsidP="00296202">
            <w:pPr>
              <w:rPr>
                <w:bCs/>
              </w:rPr>
            </w:pPr>
            <w:r w:rsidRPr="00296202">
              <w:rPr>
                <w:bCs/>
              </w:rPr>
              <w:t>.664</w:t>
            </w:r>
          </w:p>
        </w:tc>
        <w:tc>
          <w:tcPr>
            <w:tcW w:w="1544" w:type="dxa"/>
            <w:tcBorders>
              <w:top w:val="single" w:sz="4" w:space="0" w:color="auto"/>
              <w:left w:val="single" w:sz="4" w:space="0" w:color="auto"/>
              <w:bottom w:val="single" w:sz="4" w:space="0" w:color="auto"/>
              <w:right w:val="single" w:sz="4" w:space="0" w:color="auto"/>
            </w:tcBorders>
            <w:hideMark/>
          </w:tcPr>
          <w:p w14:paraId="5B0DAF8D" w14:textId="77777777" w:rsidR="00296202" w:rsidRPr="00296202" w:rsidRDefault="00296202" w:rsidP="00296202">
            <w:pPr>
              <w:rPr>
                <w:bCs/>
              </w:rPr>
            </w:pPr>
            <w:r w:rsidRPr="00296202">
              <w:rPr>
                <w:bCs/>
              </w:rPr>
              <w:t>51.8</w:t>
            </w:r>
          </w:p>
        </w:tc>
        <w:tc>
          <w:tcPr>
            <w:tcW w:w="1714" w:type="dxa"/>
            <w:tcBorders>
              <w:top w:val="single" w:sz="4" w:space="0" w:color="auto"/>
              <w:left w:val="single" w:sz="4" w:space="0" w:color="auto"/>
              <w:bottom w:val="single" w:sz="4" w:space="0" w:color="auto"/>
              <w:right w:val="single" w:sz="4" w:space="0" w:color="auto"/>
            </w:tcBorders>
            <w:hideMark/>
          </w:tcPr>
          <w:p w14:paraId="371499D4" w14:textId="77777777" w:rsidR="00296202" w:rsidRPr="00296202" w:rsidRDefault="00296202" w:rsidP="00296202">
            <w:pPr>
              <w:rPr>
                <w:bCs/>
              </w:rPr>
            </w:pPr>
            <w:r w:rsidRPr="00296202">
              <w:rPr>
                <w:bCs/>
              </w:rPr>
              <w:t>.618</w:t>
            </w:r>
          </w:p>
        </w:tc>
        <w:tc>
          <w:tcPr>
            <w:tcW w:w="1544" w:type="dxa"/>
            <w:tcBorders>
              <w:top w:val="single" w:sz="4" w:space="0" w:color="auto"/>
              <w:left w:val="single" w:sz="4" w:space="0" w:color="auto"/>
              <w:bottom w:val="single" w:sz="4" w:space="0" w:color="auto"/>
              <w:right w:val="single" w:sz="4" w:space="0" w:color="auto"/>
            </w:tcBorders>
            <w:hideMark/>
          </w:tcPr>
          <w:p w14:paraId="2C5E192F" w14:textId="77777777" w:rsidR="00296202" w:rsidRPr="00296202" w:rsidRDefault="00296202" w:rsidP="00296202">
            <w:pPr>
              <w:rPr>
                <w:bCs/>
              </w:rPr>
            </w:pPr>
            <w:r w:rsidRPr="00296202">
              <w:rPr>
                <w:bCs/>
              </w:rPr>
              <w:t>48.2</w:t>
            </w:r>
          </w:p>
        </w:tc>
      </w:tr>
    </w:tbl>
    <w:p w14:paraId="558DB1BF" w14:textId="77777777" w:rsidR="00296202" w:rsidRPr="00296202" w:rsidRDefault="00296202" w:rsidP="00296202">
      <w:pPr>
        <w:spacing w:after="0"/>
        <w:rPr>
          <w:bCs/>
        </w:rPr>
      </w:pPr>
    </w:p>
    <w:p w14:paraId="711F6C24" w14:textId="77777777" w:rsidR="00296202" w:rsidRPr="00A47420" w:rsidRDefault="00296202" w:rsidP="00990727">
      <w:pPr>
        <w:spacing w:after="0"/>
        <w:rPr>
          <w:bCs/>
        </w:rPr>
      </w:pPr>
    </w:p>
    <w:p w14:paraId="2479C915" w14:textId="77777777" w:rsidR="00811CA1" w:rsidRDefault="00C539B9" w:rsidP="00C539B9">
      <w:pPr>
        <w:spacing w:after="0"/>
        <w:rPr>
          <w:b/>
          <w:bCs/>
          <w:u w:val="single"/>
        </w:rPr>
      </w:pPr>
      <w:r>
        <w:rPr>
          <w:b/>
          <w:bCs/>
          <w:u w:val="single"/>
        </w:rPr>
        <w:t>ENGINEER’S REPORT</w:t>
      </w:r>
    </w:p>
    <w:p w14:paraId="0AF4296C" w14:textId="6FD5BB82" w:rsidR="00C539B9" w:rsidRDefault="00C539B9" w:rsidP="00452A85">
      <w:pPr>
        <w:spacing w:after="0"/>
      </w:pPr>
    </w:p>
    <w:p w14:paraId="0EE05E6B" w14:textId="5AEA4189" w:rsidR="00296202" w:rsidRDefault="00296202" w:rsidP="00452A85">
      <w:pPr>
        <w:spacing w:after="0"/>
      </w:pPr>
      <w:r>
        <w:t>Taken earlier.</w:t>
      </w:r>
    </w:p>
    <w:p w14:paraId="41DE86F1" w14:textId="77777777" w:rsidR="00296202" w:rsidRDefault="00296202" w:rsidP="00452A85">
      <w:pPr>
        <w:spacing w:after="0"/>
      </w:pPr>
    </w:p>
    <w:p w14:paraId="500CA2E0" w14:textId="47DECD4A" w:rsidR="00E31660" w:rsidRDefault="00990727" w:rsidP="00990727">
      <w:pPr>
        <w:spacing w:after="0"/>
        <w:rPr>
          <w:b/>
          <w:bCs/>
          <w:u w:val="single"/>
        </w:rPr>
      </w:pPr>
      <w:r>
        <w:rPr>
          <w:b/>
          <w:bCs/>
          <w:u w:val="single"/>
        </w:rPr>
        <w:t>PUBLIC WORKS REPOR</w:t>
      </w:r>
      <w:r w:rsidR="00E8235F">
        <w:rPr>
          <w:b/>
          <w:bCs/>
          <w:u w:val="single"/>
        </w:rPr>
        <w:t>T</w:t>
      </w:r>
    </w:p>
    <w:p w14:paraId="49765D49" w14:textId="155EF3A5" w:rsidR="00190CA1" w:rsidRDefault="00190CA1" w:rsidP="00990727">
      <w:pPr>
        <w:spacing w:after="0"/>
      </w:pPr>
    </w:p>
    <w:p w14:paraId="59E1B440" w14:textId="24B8B579" w:rsidR="00C47B07" w:rsidRDefault="006238A2" w:rsidP="00990727">
      <w:pPr>
        <w:spacing w:after="0"/>
      </w:pPr>
      <w:r>
        <w:t>Taken earlier.</w:t>
      </w:r>
    </w:p>
    <w:p w14:paraId="18C7DA0E" w14:textId="77777777" w:rsidR="009D643F" w:rsidRDefault="009D643F" w:rsidP="00EA2383">
      <w:pPr>
        <w:spacing w:after="0"/>
        <w:rPr>
          <w:b/>
          <w:bCs/>
          <w:u w:val="single"/>
        </w:rPr>
      </w:pPr>
    </w:p>
    <w:p w14:paraId="66A9E181" w14:textId="1BEE1C7E" w:rsidR="00DC63BF" w:rsidRPr="0076139F" w:rsidRDefault="009C553E" w:rsidP="00EA2383">
      <w:pPr>
        <w:spacing w:after="0"/>
        <w:rPr>
          <w:bCs/>
        </w:rPr>
      </w:pPr>
      <w:r>
        <w:rPr>
          <w:b/>
          <w:bCs/>
          <w:u w:val="single"/>
        </w:rPr>
        <w:t>SOLICITOR’S RE</w:t>
      </w:r>
      <w:r w:rsidR="0076139F">
        <w:rPr>
          <w:b/>
          <w:bCs/>
          <w:u w:val="single"/>
        </w:rPr>
        <w:t>PORT</w:t>
      </w:r>
    </w:p>
    <w:p w14:paraId="70F5E1CB" w14:textId="77777777" w:rsidR="009D643F" w:rsidRDefault="009D643F" w:rsidP="00EA2383">
      <w:pPr>
        <w:spacing w:after="0"/>
      </w:pPr>
    </w:p>
    <w:p w14:paraId="219382BA" w14:textId="177FFBB4" w:rsidR="001017C1" w:rsidRDefault="001017C1" w:rsidP="00EA2383">
      <w:pPr>
        <w:spacing w:after="0"/>
      </w:pPr>
      <w:r>
        <w:rPr>
          <w:u w:val="single"/>
        </w:rPr>
        <w:t>Bidding Threshold</w:t>
      </w:r>
      <w:r w:rsidR="007D1F07">
        <w:rPr>
          <w:u w:val="single"/>
        </w:rPr>
        <w:t xml:space="preserve"> Increases</w:t>
      </w:r>
    </w:p>
    <w:p w14:paraId="13EA22CB" w14:textId="77777777" w:rsidR="007D1F07" w:rsidRDefault="007D1F07" w:rsidP="00EA2383">
      <w:pPr>
        <w:spacing w:after="0"/>
      </w:pPr>
    </w:p>
    <w:p w14:paraId="3E0B9D13" w14:textId="342A137F" w:rsidR="007D1F07" w:rsidRDefault="007D1F07" w:rsidP="007D1F07">
      <w:pPr>
        <w:pStyle w:val="ListParagraph"/>
        <w:numPr>
          <w:ilvl w:val="0"/>
          <w:numId w:val="18"/>
        </w:numPr>
        <w:spacing w:after="0"/>
      </w:pPr>
      <w:r>
        <w:t>Purchases and contracts below $12,900 require no formal bidding or written/telephonic quotations.</w:t>
      </w:r>
    </w:p>
    <w:p w14:paraId="5F269F91" w14:textId="1B3121A3" w:rsidR="007D1F07" w:rsidRDefault="007D1F07" w:rsidP="007D1F07">
      <w:pPr>
        <w:pStyle w:val="ListParagraph"/>
        <w:numPr>
          <w:ilvl w:val="0"/>
          <w:numId w:val="18"/>
        </w:numPr>
        <w:spacing w:after="0"/>
      </w:pPr>
      <w:r>
        <w:t>Purchases and contracts between $12,900 and $23,800 require three written/telephonic quotations.</w:t>
      </w:r>
    </w:p>
    <w:p w14:paraId="3C3F13D7" w14:textId="21961643" w:rsidR="007D1F07" w:rsidRPr="007D1F07" w:rsidRDefault="007D1F07" w:rsidP="007D1F07">
      <w:pPr>
        <w:pStyle w:val="ListParagraph"/>
        <w:numPr>
          <w:ilvl w:val="0"/>
          <w:numId w:val="18"/>
        </w:numPr>
        <w:spacing w:after="0"/>
      </w:pPr>
      <w:r>
        <w:t>Purchases and contracts over $23,800 require formal bidding.</w:t>
      </w:r>
    </w:p>
    <w:p w14:paraId="2610284C" w14:textId="77777777" w:rsidR="001017C1" w:rsidRDefault="001017C1" w:rsidP="00EA2383">
      <w:pPr>
        <w:spacing w:after="0"/>
      </w:pPr>
    </w:p>
    <w:p w14:paraId="318B3CF9" w14:textId="7E079AC8" w:rsidR="001017C1" w:rsidRPr="007D1F07" w:rsidRDefault="001017C1" w:rsidP="00EA2383">
      <w:pPr>
        <w:spacing w:after="0"/>
        <w:rPr>
          <w:u w:val="single"/>
        </w:rPr>
      </w:pPr>
      <w:r w:rsidRPr="007D1F07">
        <w:rPr>
          <w:u w:val="single"/>
        </w:rPr>
        <w:t>Updated Resolution for Collection of Delinquent Accounts</w:t>
      </w:r>
    </w:p>
    <w:p w14:paraId="4E97AA73" w14:textId="77777777" w:rsidR="001017C1" w:rsidRPr="007D1F07" w:rsidRDefault="001017C1" w:rsidP="00EA2383">
      <w:pPr>
        <w:spacing w:after="0"/>
      </w:pPr>
    </w:p>
    <w:p w14:paraId="6E428B87" w14:textId="04377E6B" w:rsidR="001017C1" w:rsidRDefault="001017C1" w:rsidP="00EA2383">
      <w:pPr>
        <w:spacing w:after="0"/>
      </w:pPr>
      <w:r>
        <w:t>Sol. Rehmeyer supplied a Resolution updating the fee structure from the previous one dated 2009 in the event his services are needed to collect a delinquent account.</w:t>
      </w:r>
    </w:p>
    <w:p w14:paraId="2015C1E1" w14:textId="77777777" w:rsidR="001017C1" w:rsidRDefault="001017C1" w:rsidP="00EA2383">
      <w:pPr>
        <w:spacing w:after="0"/>
      </w:pPr>
    </w:p>
    <w:p w14:paraId="20A45DCA" w14:textId="439FDAE0" w:rsidR="001017C1" w:rsidRDefault="001017C1" w:rsidP="00EA2383">
      <w:pPr>
        <w:spacing w:after="0"/>
      </w:pPr>
      <w:r>
        <w:rPr>
          <w:u w:val="single"/>
        </w:rPr>
        <w:lastRenderedPageBreak/>
        <w:t>Omega Rail Invoices</w:t>
      </w:r>
    </w:p>
    <w:p w14:paraId="21C972D6" w14:textId="77777777" w:rsidR="001017C1" w:rsidRDefault="001017C1" w:rsidP="00EA2383">
      <w:pPr>
        <w:spacing w:after="0"/>
      </w:pPr>
    </w:p>
    <w:p w14:paraId="6ECE5ECC" w14:textId="19B6A57E" w:rsidR="001017C1" w:rsidRPr="001017C1" w:rsidRDefault="001017C1" w:rsidP="00EA2383">
      <w:pPr>
        <w:spacing w:after="0"/>
      </w:pPr>
      <w:r>
        <w:t xml:space="preserve">Mgr. Sweitzer continues to receive invoices. </w:t>
      </w:r>
      <w:r w:rsidR="004973B5">
        <w:t xml:space="preserve"> Previously, Stewartstown Railroad indicated that it would not allow Omega to be involved in its relationship with the Authority. </w:t>
      </w:r>
      <w:r>
        <w:t xml:space="preserve"> It appears that the Authority could be the only</w:t>
      </w:r>
      <w:r w:rsidR="004973B5">
        <w:t xml:space="preserve"> municipal</w:t>
      </w:r>
      <w:r>
        <w:t xml:space="preserve"> entity in Southern York County that is</w:t>
      </w:r>
      <w:r w:rsidR="004973B5">
        <w:t xml:space="preserve"> being asked to pay a license fee.  The Stewartstown Railroad has not been communicative with the Authority, so the Authority is unable to discus further the License Agreement of 1998 from which this matter arose.</w:t>
      </w:r>
    </w:p>
    <w:p w14:paraId="4559DE21" w14:textId="77777777" w:rsidR="001017C1" w:rsidRDefault="001017C1" w:rsidP="00EA2383">
      <w:pPr>
        <w:spacing w:after="0"/>
      </w:pPr>
    </w:p>
    <w:p w14:paraId="011F8BC9" w14:textId="11B0F010" w:rsidR="00377A97" w:rsidRDefault="00377A97" w:rsidP="00EA2383">
      <w:pPr>
        <w:spacing w:after="0"/>
        <w:rPr>
          <w:b/>
          <w:bCs/>
          <w:u w:val="single"/>
        </w:rPr>
      </w:pPr>
      <w:r>
        <w:rPr>
          <w:b/>
          <w:bCs/>
          <w:u w:val="single"/>
        </w:rPr>
        <w:t>COMMUNICATIONS</w:t>
      </w:r>
    </w:p>
    <w:p w14:paraId="53165477" w14:textId="77777777" w:rsidR="00190CA1" w:rsidRDefault="00190CA1" w:rsidP="00EA2383">
      <w:pPr>
        <w:spacing w:after="0"/>
        <w:rPr>
          <w:bCs/>
        </w:rPr>
      </w:pPr>
    </w:p>
    <w:p w14:paraId="2968B650" w14:textId="7BD98125" w:rsidR="001017C1" w:rsidRPr="007D1F07" w:rsidRDefault="001017C1" w:rsidP="00EA2383">
      <w:pPr>
        <w:spacing w:after="0"/>
        <w:rPr>
          <w:bCs/>
          <w:u w:val="single"/>
        </w:rPr>
      </w:pPr>
      <w:r w:rsidRPr="007D1F07">
        <w:rPr>
          <w:bCs/>
          <w:u w:val="single"/>
        </w:rPr>
        <w:t>Member Attendance</w:t>
      </w:r>
    </w:p>
    <w:p w14:paraId="44254111" w14:textId="77777777" w:rsidR="001017C1" w:rsidRDefault="001017C1" w:rsidP="00EA2383">
      <w:pPr>
        <w:spacing w:after="0"/>
        <w:rPr>
          <w:bCs/>
        </w:rPr>
      </w:pPr>
    </w:p>
    <w:p w14:paraId="384EB5EA" w14:textId="2104D7E6" w:rsidR="001017C1" w:rsidRDefault="001017C1" w:rsidP="00EA2383">
      <w:pPr>
        <w:spacing w:after="0"/>
        <w:rPr>
          <w:bCs/>
        </w:rPr>
      </w:pPr>
      <w:r>
        <w:rPr>
          <w:bCs/>
        </w:rPr>
        <w:t xml:space="preserve">It </w:t>
      </w:r>
      <w:r w:rsidR="000F6CEC">
        <w:rPr>
          <w:bCs/>
        </w:rPr>
        <w:t>was briefly discussed</w:t>
      </w:r>
      <w:r>
        <w:rPr>
          <w:bCs/>
        </w:rPr>
        <w:t xml:space="preserve"> that two</w:t>
      </w:r>
      <w:r w:rsidR="000F6CEC">
        <w:rPr>
          <w:bCs/>
        </w:rPr>
        <w:t xml:space="preserve"> Authority</w:t>
      </w:r>
      <w:r>
        <w:rPr>
          <w:bCs/>
        </w:rPr>
        <w:t xml:space="preserve"> members</w:t>
      </w:r>
      <w:r w:rsidR="000F6CEC">
        <w:rPr>
          <w:bCs/>
        </w:rPr>
        <w:t xml:space="preserve"> have</w:t>
      </w:r>
      <w:r>
        <w:rPr>
          <w:bCs/>
        </w:rPr>
        <w:t xml:space="preserve"> miss</w:t>
      </w:r>
      <w:r w:rsidR="000F6CEC">
        <w:rPr>
          <w:bCs/>
        </w:rPr>
        <w:t>ed</w:t>
      </w:r>
      <w:r>
        <w:rPr>
          <w:bCs/>
        </w:rPr>
        <w:t xml:space="preserve"> approximately 50% of the meetings</w:t>
      </w:r>
      <w:r w:rsidR="000F6CEC">
        <w:rPr>
          <w:bCs/>
        </w:rPr>
        <w:t>, which could jeopardize a quorum being reached in the future.  Failure to have enough members present for a quorum would necessitate the Authority meeting being cancelled and rescheduled.  It was recommended that Chairman Blomquist contact these two members to see if they are interested in continuing to serve since there is a very interested citizen who regularly attends most Authority meetings and is willing to serve on the Authority.</w:t>
      </w:r>
    </w:p>
    <w:p w14:paraId="4C27F28F" w14:textId="77777777" w:rsidR="001017C1" w:rsidRPr="001017C1" w:rsidRDefault="001017C1"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12A10BE" w14:textId="0B0C98DB" w:rsidR="00BB717A" w:rsidRDefault="001017C1" w:rsidP="00754327">
      <w:pPr>
        <w:spacing w:after="0"/>
      </w:pPr>
      <w:r>
        <w:t>D. Wertz</w:t>
      </w:r>
      <w:r w:rsidR="00811CA1">
        <w:t xml:space="preserve"> </w:t>
      </w:r>
      <w:r w:rsidR="00BD391F">
        <w:t>moved to adjourn the meeting</w:t>
      </w:r>
      <w:r w:rsidR="00E854A0">
        <w:t xml:space="preserve"> at</w:t>
      </w:r>
      <w:r w:rsidR="001348D4">
        <w:t xml:space="preserve"> </w:t>
      </w:r>
      <w:r>
        <w:t>8:07</w:t>
      </w:r>
      <w:r w:rsidR="00721D60">
        <w:t xml:space="preserve"> </w:t>
      </w:r>
      <w:r w:rsidR="00EA2383">
        <w:t>p.m.</w:t>
      </w:r>
    </w:p>
    <w:p w14:paraId="018FC759" w14:textId="489B7A2D" w:rsidR="00EA2383" w:rsidRDefault="001017C1" w:rsidP="00EA2383">
      <w:pPr>
        <w:spacing w:after="0"/>
      </w:pPr>
      <w:r>
        <w:t>J. Hoover</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6D753291" w:rsidR="00EA2383" w:rsidRDefault="00CB6BD3" w:rsidP="00B90718">
      <w:pPr>
        <w:spacing w:after="0"/>
        <w:ind w:left="2880" w:firstLine="720"/>
      </w:pPr>
      <w:r>
        <w:t>P</w:t>
      </w:r>
      <w:r w:rsidR="00EA2383">
        <w:t>repared by Cindy L. Bosley, Recording Secretary</w:t>
      </w:r>
      <w:r w:rsidR="007D1F07">
        <w:t xml:space="preserve"> (Zoom)</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D55B15">
      <w:headerReference w:type="default" r:id="rId8"/>
      <w:pgSz w:w="12240" w:h="15840"/>
      <w:pgMar w:top="432"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75E4" w14:textId="77777777" w:rsidR="00CE7BBB" w:rsidRDefault="00CE7BBB" w:rsidP="000B48FE">
      <w:pPr>
        <w:spacing w:after="0"/>
      </w:pPr>
      <w:r>
        <w:separator/>
      </w:r>
    </w:p>
  </w:endnote>
  <w:endnote w:type="continuationSeparator" w:id="0">
    <w:p w14:paraId="38D75E66" w14:textId="77777777" w:rsidR="00CE7BBB" w:rsidRDefault="00CE7BBB"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E87F0" w14:textId="77777777" w:rsidR="00CE7BBB" w:rsidRDefault="00CE7BBB" w:rsidP="000B48FE">
      <w:pPr>
        <w:spacing w:after="0"/>
        <w:rPr>
          <w:noProof/>
        </w:rPr>
      </w:pPr>
      <w:r>
        <w:rPr>
          <w:noProof/>
        </w:rPr>
        <w:separator/>
      </w:r>
    </w:p>
  </w:footnote>
  <w:footnote w:type="continuationSeparator" w:id="0">
    <w:p w14:paraId="42764DB9" w14:textId="77777777" w:rsidR="00CE7BBB" w:rsidRDefault="00CE7BBB"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012009"/>
      <w:docPartObj>
        <w:docPartGallery w:val="Page Numbers (Top of Page)"/>
        <w:docPartUnique/>
      </w:docPartObj>
    </w:sdtPr>
    <w:sdtEndPr>
      <w:rPr>
        <w:noProof/>
      </w:rPr>
    </w:sdtEndPr>
    <w:sdtContent>
      <w:p w14:paraId="415688E3" w14:textId="415BB74D" w:rsidR="000B48FE" w:rsidRDefault="000B48FE">
        <w:pPr>
          <w:pStyle w:val="Header"/>
          <w:jc w:val="right"/>
        </w:pPr>
        <w:r>
          <w:t xml:space="preserve"> </w:t>
        </w:r>
        <w:r w:rsidR="00687A2F">
          <w:t>1</w:t>
        </w:r>
        <w:r w:rsidR="00756E22">
          <w:t>/</w:t>
        </w:r>
        <w:r w:rsidR="00F16319">
          <w:t>2</w:t>
        </w:r>
        <w:r w:rsidR="00F02C85">
          <w:t>2</w:t>
        </w:r>
        <w:r w:rsidR="00EE55F5">
          <w:t>/20</w:t>
        </w:r>
        <w:r w:rsidR="0039545C">
          <w:t>2</w:t>
        </w:r>
        <w:r w:rsidR="00F02C85">
          <w:t>5</w:t>
        </w:r>
        <w:r>
          <w:t xml:space="preserve">    </w:t>
        </w:r>
        <w:r>
          <w:fldChar w:fldCharType="begin"/>
        </w:r>
        <w:r>
          <w:instrText xml:space="preserve"> PAGE   \* MERGEFORMAT </w:instrText>
        </w:r>
        <w:r>
          <w:fldChar w:fldCharType="separate"/>
        </w:r>
        <w:r w:rsidR="007E3134">
          <w:rPr>
            <w:noProof/>
          </w:rPr>
          <w:t>13</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8D1"/>
    <w:multiLevelType w:val="hybridMultilevel"/>
    <w:tmpl w:val="E758C8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42A86"/>
    <w:multiLevelType w:val="hybridMultilevel"/>
    <w:tmpl w:val="24288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514FF"/>
    <w:multiLevelType w:val="hybridMultilevel"/>
    <w:tmpl w:val="7ED88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C1C46"/>
    <w:multiLevelType w:val="hybridMultilevel"/>
    <w:tmpl w:val="D36C4C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9F43104"/>
    <w:multiLevelType w:val="hybridMultilevel"/>
    <w:tmpl w:val="B9568BC2"/>
    <w:lvl w:ilvl="0" w:tplc="CA4C63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854EF"/>
    <w:multiLevelType w:val="hybridMultilevel"/>
    <w:tmpl w:val="1A907D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4799715B"/>
    <w:multiLevelType w:val="hybridMultilevel"/>
    <w:tmpl w:val="9F8AE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F12752"/>
    <w:multiLevelType w:val="hybridMultilevel"/>
    <w:tmpl w:val="650ACB46"/>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BB5C63"/>
    <w:multiLevelType w:val="hybridMultilevel"/>
    <w:tmpl w:val="1F64B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B07145"/>
    <w:multiLevelType w:val="hybridMultilevel"/>
    <w:tmpl w:val="11148638"/>
    <w:lvl w:ilvl="0" w:tplc="DD86E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4B5DF2"/>
    <w:multiLevelType w:val="hybridMultilevel"/>
    <w:tmpl w:val="D42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2F7440"/>
    <w:multiLevelType w:val="hybridMultilevel"/>
    <w:tmpl w:val="10481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30304">
    <w:abstractNumId w:val="13"/>
  </w:num>
  <w:num w:numId="2" w16cid:durableId="1353610599">
    <w:abstractNumId w:val="10"/>
  </w:num>
  <w:num w:numId="3" w16cid:durableId="1711153334">
    <w:abstractNumId w:val="1"/>
  </w:num>
  <w:num w:numId="4" w16cid:durableId="315771188">
    <w:abstractNumId w:val="7"/>
  </w:num>
  <w:num w:numId="5" w16cid:durableId="364674146">
    <w:abstractNumId w:val="4"/>
  </w:num>
  <w:num w:numId="6" w16cid:durableId="81995932">
    <w:abstractNumId w:val="9"/>
  </w:num>
  <w:num w:numId="7" w16cid:durableId="1852601296">
    <w:abstractNumId w:val="16"/>
  </w:num>
  <w:num w:numId="8" w16cid:durableId="2040275943">
    <w:abstractNumId w:val="14"/>
  </w:num>
  <w:num w:numId="9" w16cid:durableId="844515448">
    <w:abstractNumId w:val="6"/>
  </w:num>
  <w:num w:numId="10" w16cid:durableId="1846094072">
    <w:abstractNumId w:val="15"/>
  </w:num>
  <w:num w:numId="11" w16cid:durableId="791284858">
    <w:abstractNumId w:val="11"/>
  </w:num>
  <w:num w:numId="12" w16cid:durableId="860170934">
    <w:abstractNumId w:val="12"/>
  </w:num>
  <w:num w:numId="13" w16cid:durableId="243342197">
    <w:abstractNumId w:val="2"/>
  </w:num>
  <w:num w:numId="14" w16cid:durableId="1000738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3948462">
    <w:abstractNumId w:val="8"/>
  </w:num>
  <w:num w:numId="16" w16cid:durableId="1082458541">
    <w:abstractNumId w:val="5"/>
  </w:num>
  <w:num w:numId="17" w16cid:durableId="1049498298">
    <w:abstractNumId w:val="0"/>
  </w:num>
  <w:num w:numId="18" w16cid:durableId="9626171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3"/>
    <w:rsid w:val="00000D84"/>
    <w:rsid w:val="00003D56"/>
    <w:rsid w:val="00004C0C"/>
    <w:rsid w:val="000061E9"/>
    <w:rsid w:val="00007ED4"/>
    <w:rsid w:val="00010765"/>
    <w:rsid w:val="000135BA"/>
    <w:rsid w:val="00014F10"/>
    <w:rsid w:val="00017E22"/>
    <w:rsid w:val="00017E48"/>
    <w:rsid w:val="000205BE"/>
    <w:rsid w:val="000205C2"/>
    <w:rsid w:val="0002076D"/>
    <w:rsid w:val="0002316C"/>
    <w:rsid w:val="00023604"/>
    <w:rsid w:val="000239B5"/>
    <w:rsid w:val="000248B1"/>
    <w:rsid w:val="000252E1"/>
    <w:rsid w:val="00025319"/>
    <w:rsid w:val="00025D15"/>
    <w:rsid w:val="000275EC"/>
    <w:rsid w:val="00027E2A"/>
    <w:rsid w:val="0003037C"/>
    <w:rsid w:val="00033149"/>
    <w:rsid w:val="00033E7F"/>
    <w:rsid w:val="00035A39"/>
    <w:rsid w:val="000404E7"/>
    <w:rsid w:val="000428A4"/>
    <w:rsid w:val="00042ABE"/>
    <w:rsid w:val="00044830"/>
    <w:rsid w:val="000473D6"/>
    <w:rsid w:val="00050CC5"/>
    <w:rsid w:val="000524DF"/>
    <w:rsid w:val="000530CB"/>
    <w:rsid w:val="000546A0"/>
    <w:rsid w:val="00054AD1"/>
    <w:rsid w:val="00054D69"/>
    <w:rsid w:val="00057033"/>
    <w:rsid w:val="000601D4"/>
    <w:rsid w:val="00060820"/>
    <w:rsid w:val="00060E20"/>
    <w:rsid w:val="00061586"/>
    <w:rsid w:val="0006179C"/>
    <w:rsid w:val="0006180D"/>
    <w:rsid w:val="0006196D"/>
    <w:rsid w:val="00062469"/>
    <w:rsid w:val="000667A0"/>
    <w:rsid w:val="00066D98"/>
    <w:rsid w:val="0006785B"/>
    <w:rsid w:val="00067C47"/>
    <w:rsid w:val="00067F28"/>
    <w:rsid w:val="00075547"/>
    <w:rsid w:val="000776F9"/>
    <w:rsid w:val="00080A3E"/>
    <w:rsid w:val="00080CAB"/>
    <w:rsid w:val="0008162A"/>
    <w:rsid w:val="00082AB3"/>
    <w:rsid w:val="00084769"/>
    <w:rsid w:val="00086682"/>
    <w:rsid w:val="000923F7"/>
    <w:rsid w:val="00095453"/>
    <w:rsid w:val="000A1EA1"/>
    <w:rsid w:val="000A4A72"/>
    <w:rsid w:val="000A56AB"/>
    <w:rsid w:val="000A6C1F"/>
    <w:rsid w:val="000A71C7"/>
    <w:rsid w:val="000B04A9"/>
    <w:rsid w:val="000B123C"/>
    <w:rsid w:val="000B2A26"/>
    <w:rsid w:val="000B43AC"/>
    <w:rsid w:val="000B48FE"/>
    <w:rsid w:val="000B4F83"/>
    <w:rsid w:val="000B50A2"/>
    <w:rsid w:val="000B7FAB"/>
    <w:rsid w:val="000C10C7"/>
    <w:rsid w:val="000C2142"/>
    <w:rsid w:val="000C273E"/>
    <w:rsid w:val="000C4DD4"/>
    <w:rsid w:val="000C53BE"/>
    <w:rsid w:val="000C7FF7"/>
    <w:rsid w:val="000D018E"/>
    <w:rsid w:val="000D01AA"/>
    <w:rsid w:val="000D0C01"/>
    <w:rsid w:val="000D15D7"/>
    <w:rsid w:val="000D2385"/>
    <w:rsid w:val="000D2C01"/>
    <w:rsid w:val="000D2CB2"/>
    <w:rsid w:val="000D4E64"/>
    <w:rsid w:val="000D71A2"/>
    <w:rsid w:val="000D7BF6"/>
    <w:rsid w:val="000D7EEC"/>
    <w:rsid w:val="000E0D54"/>
    <w:rsid w:val="000E29DB"/>
    <w:rsid w:val="000E6D2E"/>
    <w:rsid w:val="000E7366"/>
    <w:rsid w:val="000E7D0E"/>
    <w:rsid w:val="000F0751"/>
    <w:rsid w:val="000F0766"/>
    <w:rsid w:val="000F0EF5"/>
    <w:rsid w:val="000F1835"/>
    <w:rsid w:val="000F2C57"/>
    <w:rsid w:val="000F3434"/>
    <w:rsid w:val="000F514B"/>
    <w:rsid w:val="000F6BEC"/>
    <w:rsid w:val="000F6CEC"/>
    <w:rsid w:val="001017C1"/>
    <w:rsid w:val="00104826"/>
    <w:rsid w:val="00105288"/>
    <w:rsid w:val="00105E3B"/>
    <w:rsid w:val="00105FBA"/>
    <w:rsid w:val="001115E0"/>
    <w:rsid w:val="00113DB8"/>
    <w:rsid w:val="001141E2"/>
    <w:rsid w:val="00115F2A"/>
    <w:rsid w:val="0011749D"/>
    <w:rsid w:val="00117FB9"/>
    <w:rsid w:val="00121F13"/>
    <w:rsid w:val="00122439"/>
    <w:rsid w:val="0012432D"/>
    <w:rsid w:val="001245FF"/>
    <w:rsid w:val="00124946"/>
    <w:rsid w:val="001249A5"/>
    <w:rsid w:val="0012562C"/>
    <w:rsid w:val="0012589F"/>
    <w:rsid w:val="00130407"/>
    <w:rsid w:val="0013093B"/>
    <w:rsid w:val="00132439"/>
    <w:rsid w:val="00133956"/>
    <w:rsid w:val="001348D4"/>
    <w:rsid w:val="00134C5E"/>
    <w:rsid w:val="00134EB1"/>
    <w:rsid w:val="001352F1"/>
    <w:rsid w:val="00135334"/>
    <w:rsid w:val="00135FD2"/>
    <w:rsid w:val="00136184"/>
    <w:rsid w:val="00137E7C"/>
    <w:rsid w:val="0014184D"/>
    <w:rsid w:val="001432AA"/>
    <w:rsid w:val="00143331"/>
    <w:rsid w:val="001451B7"/>
    <w:rsid w:val="00145FC3"/>
    <w:rsid w:val="00146401"/>
    <w:rsid w:val="00150CAA"/>
    <w:rsid w:val="00151643"/>
    <w:rsid w:val="00161AA7"/>
    <w:rsid w:val="00162496"/>
    <w:rsid w:val="00162B5E"/>
    <w:rsid w:val="00163521"/>
    <w:rsid w:val="00163907"/>
    <w:rsid w:val="00164C6C"/>
    <w:rsid w:val="0016687A"/>
    <w:rsid w:val="001713A6"/>
    <w:rsid w:val="001718A8"/>
    <w:rsid w:val="00173076"/>
    <w:rsid w:val="00173297"/>
    <w:rsid w:val="00173884"/>
    <w:rsid w:val="001767B2"/>
    <w:rsid w:val="0018224E"/>
    <w:rsid w:val="00182719"/>
    <w:rsid w:val="00183DD4"/>
    <w:rsid w:val="001850E3"/>
    <w:rsid w:val="00185455"/>
    <w:rsid w:val="001868D1"/>
    <w:rsid w:val="00187ACA"/>
    <w:rsid w:val="00190CA1"/>
    <w:rsid w:val="00196392"/>
    <w:rsid w:val="00197EF3"/>
    <w:rsid w:val="001A0A24"/>
    <w:rsid w:val="001A6ADC"/>
    <w:rsid w:val="001B04B0"/>
    <w:rsid w:val="001B0AB0"/>
    <w:rsid w:val="001B342D"/>
    <w:rsid w:val="001C0B0C"/>
    <w:rsid w:val="001C1918"/>
    <w:rsid w:val="001C1952"/>
    <w:rsid w:val="001C24DB"/>
    <w:rsid w:val="001C5194"/>
    <w:rsid w:val="001C79B3"/>
    <w:rsid w:val="001C7A0F"/>
    <w:rsid w:val="001D0120"/>
    <w:rsid w:val="001D0F95"/>
    <w:rsid w:val="001D2537"/>
    <w:rsid w:val="001D33AD"/>
    <w:rsid w:val="001D3E41"/>
    <w:rsid w:val="001D3EED"/>
    <w:rsid w:val="001D3F3E"/>
    <w:rsid w:val="001D4CAB"/>
    <w:rsid w:val="001D5238"/>
    <w:rsid w:val="001D58E6"/>
    <w:rsid w:val="001E0639"/>
    <w:rsid w:val="001E2386"/>
    <w:rsid w:val="001E31D5"/>
    <w:rsid w:val="001E43B7"/>
    <w:rsid w:val="001E4C57"/>
    <w:rsid w:val="001E5017"/>
    <w:rsid w:val="001E6C6B"/>
    <w:rsid w:val="001F34B2"/>
    <w:rsid w:val="001F4224"/>
    <w:rsid w:val="001F4365"/>
    <w:rsid w:val="001F5835"/>
    <w:rsid w:val="001F74B1"/>
    <w:rsid w:val="001F7585"/>
    <w:rsid w:val="001F7AB8"/>
    <w:rsid w:val="00202446"/>
    <w:rsid w:val="002025CD"/>
    <w:rsid w:val="00202BA3"/>
    <w:rsid w:val="00202BFB"/>
    <w:rsid w:val="0020492B"/>
    <w:rsid w:val="0020571F"/>
    <w:rsid w:val="00206B26"/>
    <w:rsid w:val="002070F7"/>
    <w:rsid w:val="00207C96"/>
    <w:rsid w:val="00211E52"/>
    <w:rsid w:val="0021502E"/>
    <w:rsid w:val="002159DD"/>
    <w:rsid w:val="00216038"/>
    <w:rsid w:val="00217EB8"/>
    <w:rsid w:val="002204F5"/>
    <w:rsid w:val="002217C1"/>
    <w:rsid w:val="002232E6"/>
    <w:rsid w:val="00224533"/>
    <w:rsid w:val="002257D2"/>
    <w:rsid w:val="00226E4C"/>
    <w:rsid w:val="0022742F"/>
    <w:rsid w:val="0022791B"/>
    <w:rsid w:val="00230E69"/>
    <w:rsid w:val="00231353"/>
    <w:rsid w:val="002319EE"/>
    <w:rsid w:val="002334F2"/>
    <w:rsid w:val="00234846"/>
    <w:rsid w:val="0023625C"/>
    <w:rsid w:val="00236756"/>
    <w:rsid w:val="00236CB3"/>
    <w:rsid w:val="00237536"/>
    <w:rsid w:val="00237659"/>
    <w:rsid w:val="00237C96"/>
    <w:rsid w:val="00240EEB"/>
    <w:rsid w:val="00241082"/>
    <w:rsid w:val="002431B1"/>
    <w:rsid w:val="00243E50"/>
    <w:rsid w:val="0024454A"/>
    <w:rsid w:val="002447F1"/>
    <w:rsid w:val="00245FDC"/>
    <w:rsid w:val="002464E8"/>
    <w:rsid w:val="00246C67"/>
    <w:rsid w:val="00247AE1"/>
    <w:rsid w:val="002557EA"/>
    <w:rsid w:val="00255DD5"/>
    <w:rsid w:val="00256C34"/>
    <w:rsid w:val="00261A38"/>
    <w:rsid w:val="00262201"/>
    <w:rsid w:val="002624E5"/>
    <w:rsid w:val="0026284E"/>
    <w:rsid w:val="0026407A"/>
    <w:rsid w:val="00264662"/>
    <w:rsid w:val="00264A43"/>
    <w:rsid w:val="00264C6F"/>
    <w:rsid w:val="00264DE1"/>
    <w:rsid w:val="00264FAC"/>
    <w:rsid w:val="00265FEC"/>
    <w:rsid w:val="00266CC1"/>
    <w:rsid w:val="00267D80"/>
    <w:rsid w:val="00271DC7"/>
    <w:rsid w:val="002727B4"/>
    <w:rsid w:val="00272F2A"/>
    <w:rsid w:val="00274ACE"/>
    <w:rsid w:val="00275210"/>
    <w:rsid w:val="002752A4"/>
    <w:rsid w:val="0027596B"/>
    <w:rsid w:val="002759B7"/>
    <w:rsid w:val="00276950"/>
    <w:rsid w:val="00281FEB"/>
    <w:rsid w:val="002924C5"/>
    <w:rsid w:val="00294B49"/>
    <w:rsid w:val="00296202"/>
    <w:rsid w:val="002965E7"/>
    <w:rsid w:val="002967EF"/>
    <w:rsid w:val="00296973"/>
    <w:rsid w:val="00296C6B"/>
    <w:rsid w:val="00297CFA"/>
    <w:rsid w:val="002A41E3"/>
    <w:rsid w:val="002A45A1"/>
    <w:rsid w:val="002A46AE"/>
    <w:rsid w:val="002A723F"/>
    <w:rsid w:val="002B0676"/>
    <w:rsid w:val="002B1B61"/>
    <w:rsid w:val="002B3814"/>
    <w:rsid w:val="002B5724"/>
    <w:rsid w:val="002B62CE"/>
    <w:rsid w:val="002B69A5"/>
    <w:rsid w:val="002C0443"/>
    <w:rsid w:val="002C20FB"/>
    <w:rsid w:val="002C4F8F"/>
    <w:rsid w:val="002C5FDF"/>
    <w:rsid w:val="002C6789"/>
    <w:rsid w:val="002D0380"/>
    <w:rsid w:val="002D0B8A"/>
    <w:rsid w:val="002D14AA"/>
    <w:rsid w:val="002D399C"/>
    <w:rsid w:val="002D3EBE"/>
    <w:rsid w:val="002D626C"/>
    <w:rsid w:val="002D6720"/>
    <w:rsid w:val="002D71F5"/>
    <w:rsid w:val="002E22FA"/>
    <w:rsid w:val="002E43D4"/>
    <w:rsid w:val="002F4BB7"/>
    <w:rsid w:val="003019AB"/>
    <w:rsid w:val="00303484"/>
    <w:rsid w:val="003042FF"/>
    <w:rsid w:val="003053D2"/>
    <w:rsid w:val="00310306"/>
    <w:rsid w:val="00310E61"/>
    <w:rsid w:val="003119AB"/>
    <w:rsid w:val="003124C8"/>
    <w:rsid w:val="00312655"/>
    <w:rsid w:val="003129E8"/>
    <w:rsid w:val="00313AFB"/>
    <w:rsid w:val="00315FCF"/>
    <w:rsid w:val="00316C24"/>
    <w:rsid w:val="00317B1F"/>
    <w:rsid w:val="00323484"/>
    <w:rsid w:val="00323845"/>
    <w:rsid w:val="00326853"/>
    <w:rsid w:val="003270CC"/>
    <w:rsid w:val="003311A6"/>
    <w:rsid w:val="00332C3A"/>
    <w:rsid w:val="00333656"/>
    <w:rsid w:val="0033667B"/>
    <w:rsid w:val="00340444"/>
    <w:rsid w:val="003412D5"/>
    <w:rsid w:val="00341350"/>
    <w:rsid w:val="003435F7"/>
    <w:rsid w:val="0034486B"/>
    <w:rsid w:val="00345517"/>
    <w:rsid w:val="00345583"/>
    <w:rsid w:val="00350984"/>
    <w:rsid w:val="00351358"/>
    <w:rsid w:val="00351CB4"/>
    <w:rsid w:val="00351F56"/>
    <w:rsid w:val="00356139"/>
    <w:rsid w:val="00356482"/>
    <w:rsid w:val="00356FBD"/>
    <w:rsid w:val="003579DD"/>
    <w:rsid w:val="00357D7B"/>
    <w:rsid w:val="003612F8"/>
    <w:rsid w:val="00361E74"/>
    <w:rsid w:val="00362FAF"/>
    <w:rsid w:val="003634C0"/>
    <w:rsid w:val="00363E76"/>
    <w:rsid w:val="003644ED"/>
    <w:rsid w:val="003653E7"/>
    <w:rsid w:val="0037100D"/>
    <w:rsid w:val="00371F68"/>
    <w:rsid w:val="0037431D"/>
    <w:rsid w:val="00374673"/>
    <w:rsid w:val="00377A97"/>
    <w:rsid w:val="00384581"/>
    <w:rsid w:val="00384B84"/>
    <w:rsid w:val="00387958"/>
    <w:rsid w:val="00390348"/>
    <w:rsid w:val="0039179E"/>
    <w:rsid w:val="00392C68"/>
    <w:rsid w:val="00393CE7"/>
    <w:rsid w:val="0039545C"/>
    <w:rsid w:val="00396031"/>
    <w:rsid w:val="00396A42"/>
    <w:rsid w:val="00396FCD"/>
    <w:rsid w:val="00397095"/>
    <w:rsid w:val="00397578"/>
    <w:rsid w:val="003A08DA"/>
    <w:rsid w:val="003A0C9B"/>
    <w:rsid w:val="003A2A77"/>
    <w:rsid w:val="003A46FD"/>
    <w:rsid w:val="003B029B"/>
    <w:rsid w:val="003B1B56"/>
    <w:rsid w:val="003B3E91"/>
    <w:rsid w:val="003B41A0"/>
    <w:rsid w:val="003C0C00"/>
    <w:rsid w:val="003C287B"/>
    <w:rsid w:val="003C2CD4"/>
    <w:rsid w:val="003C366C"/>
    <w:rsid w:val="003C3942"/>
    <w:rsid w:val="003C6A47"/>
    <w:rsid w:val="003C7E73"/>
    <w:rsid w:val="003D0F20"/>
    <w:rsid w:val="003D1B33"/>
    <w:rsid w:val="003E2C70"/>
    <w:rsid w:val="003E35E7"/>
    <w:rsid w:val="003E3D50"/>
    <w:rsid w:val="003E6BAB"/>
    <w:rsid w:val="003E74AD"/>
    <w:rsid w:val="003F382F"/>
    <w:rsid w:val="003F57D8"/>
    <w:rsid w:val="003F5CC6"/>
    <w:rsid w:val="003F74DA"/>
    <w:rsid w:val="003F795A"/>
    <w:rsid w:val="00401A76"/>
    <w:rsid w:val="004021AC"/>
    <w:rsid w:val="0040320E"/>
    <w:rsid w:val="00403CB1"/>
    <w:rsid w:val="00404021"/>
    <w:rsid w:val="004043F3"/>
    <w:rsid w:val="0040648A"/>
    <w:rsid w:val="00411234"/>
    <w:rsid w:val="004123A2"/>
    <w:rsid w:val="00412F35"/>
    <w:rsid w:val="00413041"/>
    <w:rsid w:val="004174CE"/>
    <w:rsid w:val="004201D1"/>
    <w:rsid w:val="00421312"/>
    <w:rsid w:val="004218CE"/>
    <w:rsid w:val="0042368B"/>
    <w:rsid w:val="00423857"/>
    <w:rsid w:val="004262BB"/>
    <w:rsid w:val="004277B2"/>
    <w:rsid w:val="0043041C"/>
    <w:rsid w:val="00430CB8"/>
    <w:rsid w:val="00433004"/>
    <w:rsid w:val="0043358A"/>
    <w:rsid w:val="0043512C"/>
    <w:rsid w:val="00436257"/>
    <w:rsid w:val="00436501"/>
    <w:rsid w:val="00436F07"/>
    <w:rsid w:val="0044072A"/>
    <w:rsid w:val="00441704"/>
    <w:rsid w:val="00442682"/>
    <w:rsid w:val="00443959"/>
    <w:rsid w:val="00443E28"/>
    <w:rsid w:val="00443F7F"/>
    <w:rsid w:val="004500DE"/>
    <w:rsid w:val="00451E41"/>
    <w:rsid w:val="0045236D"/>
    <w:rsid w:val="00452A85"/>
    <w:rsid w:val="004545B5"/>
    <w:rsid w:val="00454A37"/>
    <w:rsid w:val="00455D26"/>
    <w:rsid w:val="0045651E"/>
    <w:rsid w:val="004617F8"/>
    <w:rsid w:val="004625F5"/>
    <w:rsid w:val="00462CF0"/>
    <w:rsid w:val="00463CC8"/>
    <w:rsid w:val="004647CE"/>
    <w:rsid w:val="00465EC5"/>
    <w:rsid w:val="00471782"/>
    <w:rsid w:val="00477E3A"/>
    <w:rsid w:val="0048067F"/>
    <w:rsid w:val="004807BA"/>
    <w:rsid w:val="0048223C"/>
    <w:rsid w:val="004825CD"/>
    <w:rsid w:val="00484560"/>
    <w:rsid w:val="004871C2"/>
    <w:rsid w:val="004911D5"/>
    <w:rsid w:val="00492B3B"/>
    <w:rsid w:val="00492F75"/>
    <w:rsid w:val="00494C1C"/>
    <w:rsid w:val="00494EC1"/>
    <w:rsid w:val="004963A8"/>
    <w:rsid w:val="00496DC1"/>
    <w:rsid w:val="00496E7E"/>
    <w:rsid w:val="004973B5"/>
    <w:rsid w:val="004A359D"/>
    <w:rsid w:val="004A38F0"/>
    <w:rsid w:val="004A5647"/>
    <w:rsid w:val="004A65A0"/>
    <w:rsid w:val="004B1919"/>
    <w:rsid w:val="004B1DDD"/>
    <w:rsid w:val="004B542C"/>
    <w:rsid w:val="004B5B8A"/>
    <w:rsid w:val="004B627A"/>
    <w:rsid w:val="004B7420"/>
    <w:rsid w:val="004B74FA"/>
    <w:rsid w:val="004C08F1"/>
    <w:rsid w:val="004C1F11"/>
    <w:rsid w:val="004C3098"/>
    <w:rsid w:val="004C380E"/>
    <w:rsid w:val="004C4120"/>
    <w:rsid w:val="004C4192"/>
    <w:rsid w:val="004C471F"/>
    <w:rsid w:val="004C4E4B"/>
    <w:rsid w:val="004C53A4"/>
    <w:rsid w:val="004D2F5E"/>
    <w:rsid w:val="004D319F"/>
    <w:rsid w:val="004D34FD"/>
    <w:rsid w:val="004D4B08"/>
    <w:rsid w:val="004D65AE"/>
    <w:rsid w:val="004E1679"/>
    <w:rsid w:val="004E3611"/>
    <w:rsid w:val="004F41C2"/>
    <w:rsid w:val="004F6058"/>
    <w:rsid w:val="004F68EB"/>
    <w:rsid w:val="004F70EC"/>
    <w:rsid w:val="00501F97"/>
    <w:rsid w:val="005024E3"/>
    <w:rsid w:val="00502949"/>
    <w:rsid w:val="00503EE0"/>
    <w:rsid w:val="00504CD5"/>
    <w:rsid w:val="00506B85"/>
    <w:rsid w:val="00510DDE"/>
    <w:rsid w:val="00514EAA"/>
    <w:rsid w:val="00515175"/>
    <w:rsid w:val="00515E69"/>
    <w:rsid w:val="00516133"/>
    <w:rsid w:val="00517429"/>
    <w:rsid w:val="00517515"/>
    <w:rsid w:val="00520600"/>
    <w:rsid w:val="00520A7E"/>
    <w:rsid w:val="00521D1A"/>
    <w:rsid w:val="00522A88"/>
    <w:rsid w:val="005246F2"/>
    <w:rsid w:val="00524A8C"/>
    <w:rsid w:val="00524F44"/>
    <w:rsid w:val="0052710A"/>
    <w:rsid w:val="00527E06"/>
    <w:rsid w:val="005305C2"/>
    <w:rsid w:val="005307DB"/>
    <w:rsid w:val="00532753"/>
    <w:rsid w:val="0053370B"/>
    <w:rsid w:val="00533974"/>
    <w:rsid w:val="00537C09"/>
    <w:rsid w:val="005411DA"/>
    <w:rsid w:val="00541805"/>
    <w:rsid w:val="00542CD7"/>
    <w:rsid w:val="00543394"/>
    <w:rsid w:val="00543C5A"/>
    <w:rsid w:val="00543CF5"/>
    <w:rsid w:val="00543F0C"/>
    <w:rsid w:val="0054695B"/>
    <w:rsid w:val="00546E68"/>
    <w:rsid w:val="00547809"/>
    <w:rsid w:val="005511CC"/>
    <w:rsid w:val="005513B9"/>
    <w:rsid w:val="00551663"/>
    <w:rsid w:val="00551D82"/>
    <w:rsid w:val="00553797"/>
    <w:rsid w:val="005556F6"/>
    <w:rsid w:val="005618BC"/>
    <w:rsid w:val="005634A9"/>
    <w:rsid w:val="00565E75"/>
    <w:rsid w:val="0057008E"/>
    <w:rsid w:val="0057082F"/>
    <w:rsid w:val="00571D6E"/>
    <w:rsid w:val="00572051"/>
    <w:rsid w:val="00572505"/>
    <w:rsid w:val="00575497"/>
    <w:rsid w:val="00576308"/>
    <w:rsid w:val="00576590"/>
    <w:rsid w:val="0057692D"/>
    <w:rsid w:val="00576FCB"/>
    <w:rsid w:val="005772D4"/>
    <w:rsid w:val="005801D9"/>
    <w:rsid w:val="00580944"/>
    <w:rsid w:val="00580D73"/>
    <w:rsid w:val="0058105D"/>
    <w:rsid w:val="00581EC1"/>
    <w:rsid w:val="00582677"/>
    <w:rsid w:val="005831B4"/>
    <w:rsid w:val="00584392"/>
    <w:rsid w:val="005843F6"/>
    <w:rsid w:val="00586426"/>
    <w:rsid w:val="00590DC8"/>
    <w:rsid w:val="00591AC7"/>
    <w:rsid w:val="005951AD"/>
    <w:rsid w:val="0059598E"/>
    <w:rsid w:val="00595F1A"/>
    <w:rsid w:val="00596992"/>
    <w:rsid w:val="00596F2F"/>
    <w:rsid w:val="00597414"/>
    <w:rsid w:val="00597733"/>
    <w:rsid w:val="005A4519"/>
    <w:rsid w:val="005A56C1"/>
    <w:rsid w:val="005A66E5"/>
    <w:rsid w:val="005B0BDF"/>
    <w:rsid w:val="005B1979"/>
    <w:rsid w:val="005B474B"/>
    <w:rsid w:val="005B51B4"/>
    <w:rsid w:val="005B6F90"/>
    <w:rsid w:val="005B7475"/>
    <w:rsid w:val="005C42C0"/>
    <w:rsid w:val="005D02DA"/>
    <w:rsid w:val="005D2866"/>
    <w:rsid w:val="005D35D6"/>
    <w:rsid w:val="005D4341"/>
    <w:rsid w:val="005D5A7F"/>
    <w:rsid w:val="005D7CB0"/>
    <w:rsid w:val="005E1090"/>
    <w:rsid w:val="005E4A8D"/>
    <w:rsid w:val="005E4A96"/>
    <w:rsid w:val="005E5ADB"/>
    <w:rsid w:val="005E60AF"/>
    <w:rsid w:val="005E673E"/>
    <w:rsid w:val="005E7689"/>
    <w:rsid w:val="005F088A"/>
    <w:rsid w:val="005F08E9"/>
    <w:rsid w:val="005F1CC4"/>
    <w:rsid w:val="005F20FF"/>
    <w:rsid w:val="005F341E"/>
    <w:rsid w:val="005F4004"/>
    <w:rsid w:val="005F4FA4"/>
    <w:rsid w:val="0060044A"/>
    <w:rsid w:val="00600E3F"/>
    <w:rsid w:val="0060192C"/>
    <w:rsid w:val="0060200A"/>
    <w:rsid w:val="00602348"/>
    <w:rsid w:val="00603868"/>
    <w:rsid w:val="00607F8E"/>
    <w:rsid w:val="00611DC7"/>
    <w:rsid w:val="006141BD"/>
    <w:rsid w:val="006146F2"/>
    <w:rsid w:val="0061485F"/>
    <w:rsid w:val="00617012"/>
    <w:rsid w:val="0061787B"/>
    <w:rsid w:val="00621CCB"/>
    <w:rsid w:val="00622A4E"/>
    <w:rsid w:val="006238A2"/>
    <w:rsid w:val="00623FF6"/>
    <w:rsid w:val="00624444"/>
    <w:rsid w:val="0062792C"/>
    <w:rsid w:val="00630D15"/>
    <w:rsid w:val="006317D0"/>
    <w:rsid w:val="0063555B"/>
    <w:rsid w:val="006373F4"/>
    <w:rsid w:val="00640200"/>
    <w:rsid w:val="0064095A"/>
    <w:rsid w:val="00640AC5"/>
    <w:rsid w:val="00641FB4"/>
    <w:rsid w:val="00642AA6"/>
    <w:rsid w:val="00644108"/>
    <w:rsid w:val="006445A8"/>
    <w:rsid w:val="006468B2"/>
    <w:rsid w:val="00646BCC"/>
    <w:rsid w:val="00652058"/>
    <w:rsid w:val="00653253"/>
    <w:rsid w:val="00655644"/>
    <w:rsid w:val="00655B36"/>
    <w:rsid w:val="006568D4"/>
    <w:rsid w:val="00656BE0"/>
    <w:rsid w:val="00660567"/>
    <w:rsid w:val="00660FBE"/>
    <w:rsid w:val="00661588"/>
    <w:rsid w:val="00661EC8"/>
    <w:rsid w:val="00661EE8"/>
    <w:rsid w:val="00663851"/>
    <w:rsid w:val="00663B0D"/>
    <w:rsid w:val="00664433"/>
    <w:rsid w:val="00670E21"/>
    <w:rsid w:val="006721B3"/>
    <w:rsid w:val="00672A1F"/>
    <w:rsid w:val="0067302D"/>
    <w:rsid w:val="00673349"/>
    <w:rsid w:val="006736C8"/>
    <w:rsid w:val="00674116"/>
    <w:rsid w:val="0067480E"/>
    <w:rsid w:val="00675500"/>
    <w:rsid w:val="00680D66"/>
    <w:rsid w:val="0068186E"/>
    <w:rsid w:val="0068190D"/>
    <w:rsid w:val="00682CC8"/>
    <w:rsid w:val="0068359C"/>
    <w:rsid w:val="006837D0"/>
    <w:rsid w:val="00687A2F"/>
    <w:rsid w:val="006938EB"/>
    <w:rsid w:val="006958D8"/>
    <w:rsid w:val="00695E91"/>
    <w:rsid w:val="00697811"/>
    <w:rsid w:val="00697908"/>
    <w:rsid w:val="006A079B"/>
    <w:rsid w:val="006A07DB"/>
    <w:rsid w:val="006A2ABF"/>
    <w:rsid w:val="006A62D7"/>
    <w:rsid w:val="006A70B1"/>
    <w:rsid w:val="006B10B1"/>
    <w:rsid w:val="006B2453"/>
    <w:rsid w:val="006B34B9"/>
    <w:rsid w:val="006B3B2D"/>
    <w:rsid w:val="006B3DC2"/>
    <w:rsid w:val="006B4FE2"/>
    <w:rsid w:val="006B7DBA"/>
    <w:rsid w:val="006C049D"/>
    <w:rsid w:val="006C1BB8"/>
    <w:rsid w:val="006C20A5"/>
    <w:rsid w:val="006C37C1"/>
    <w:rsid w:val="006C3F04"/>
    <w:rsid w:val="006C5C27"/>
    <w:rsid w:val="006C5C78"/>
    <w:rsid w:val="006C669E"/>
    <w:rsid w:val="006D14B1"/>
    <w:rsid w:val="006D2382"/>
    <w:rsid w:val="006D296F"/>
    <w:rsid w:val="006D46AB"/>
    <w:rsid w:val="006D56B7"/>
    <w:rsid w:val="006D6A5F"/>
    <w:rsid w:val="006D7966"/>
    <w:rsid w:val="006E1F40"/>
    <w:rsid w:val="006E2A19"/>
    <w:rsid w:val="006E4B40"/>
    <w:rsid w:val="006E4DF9"/>
    <w:rsid w:val="006E4E6D"/>
    <w:rsid w:val="006E5EA9"/>
    <w:rsid w:val="006F1694"/>
    <w:rsid w:val="006F1B8D"/>
    <w:rsid w:val="006F23F2"/>
    <w:rsid w:val="006F28D0"/>
    <w:rsid w:val="006F42E8"/>
    <w:rsid w:val="006F5617"/>
    <w:rsid w:val="006F7A57"/>
    <w:rsid w:val="007029D1"/>
    <w:rsid w:val="00702D3E"/>
    <w:rsid w:val="00705F3F"/>
    <w:rsid w:val="007070A9"/>
    <w:rsid w:val="00707103"/>
    <w:rsid w:val="00710109"/>
    <w:rsid w:val="00711630"/>
    <w:rsid w:val="00711FCC"/>
    <w:rsid w:val="00712CE8"/>
    <w:rsid w:val="00713716"/>
    <w:rsid w:val="007138B2"/>
    <w:rsid w:val="00714892"/>
    <w:rsid w:val="00714D37"/>
    <w:rsid w:val="00715B09"/>
    <w:rsid w:val="00715FE1"/>
    <w:rsid w:val="0072001E"/>
    <w:rsid w:val="00720BC7"/>
    <w:rsid w:val="007215D3"/>
    <w:rsid w:val="00721D60"/>
    <w:rsid w:val="007230C4"/>
    <w:rsid w:val="0072477C"/>
    <w:rsid w:val="00725B77"/>
    <w:rsid w:val="0072750E"/>
    <w:rsid w:val="00727FD3"/>
    <w:rsid w:val="00730B03"/>
    <w:rsid w:val="00730E1A"/>
    <w:rsid w:val="00731660"/>
    <w:rsid w:val="00732151"/>
    <w:rsid w:val="00733E66"/>
    <w:rsid w:val="00735F77"/>
    <w:rsid w:val="007363E9"/>
    <w:rsid w:val="00736CEB"/>
    <w:rsid w:val="00740113"/>
    <w:rsid w:val="00744453"/>
    <w:rsid w:val="00744897"/>
    <w:rsid w:val="00744BB2"/>
    <w:rsid w:val="00745B90"/>
    <w:rsid w:val="0075005B"/>
    <w:rsid w:val="00752744"/>
    <w:rsid w:val="00752C2D"/>
    <w:rsid w:val="0075353D"/>
    <w:rsid w:val="00754289"/>
    <w:rsid w:val="00754327"/>
    <w:rsid w:val="00754FE8"/>
    <w:rsid w:val="00756E22"/>
    <w:rsid w:val="007574D6"/>
    <w:rsid w:val="0076139F"/>
    <w:rsid w:val="00762C9C"/>
    <w:rsid w:val="00762E51"/>
    <w:rsid w:val="007633F1"/>
    <w:rsid w:val="00766FCA"/>
    <w:rsid w:val="007712B6"/>
    <w:rsid w:val="00774B29"/>
    <w:rsid w:val="00780E62"/>
    <w:rsid w:val="00780FFD"/>
    <w:rsid w:val="0078308D"/>
    <w:rsid w:val="007830A2"/>
    <w:rsid w:val="00784532"/>
    <w:rsid w:val="00784D2C"/>
    <w:rsid w:val="00785969"/>
    <w:rsid w:val="00787027"/>
    <w:rsid w:val="00790C87"/>
    <w:rsid w:val="00791AE2"/>
    <w:rsid w:val="007929AC"/>
    <w:rsid w:val="0079429A"/>
    <w:rsid w:val="0079595D"/>
    <w:rsid w:val="007965CE"/>
    <w:rsid w:val="007A419F"/>
    <w:rsid w:val="007A5697"/>
    <w:rsid w:val="007A6418"/>
    <w:rsid w:val="007A7CB9"/>
    <w:rsid w:val="007B037C"/>
    <w:rsid w:val="007B252E"/>
    <w:rsid w:val="007B5A68"/>
    <w:rsid w:val="007C01B4"/>
    <w:rsid w:val="007C4CBA"/>
    <w:rsid w:val="007C6E4D"/>
    <w:rsid w:val="007C7559"/>
    <w:rsid w:val="007D064A"/>
    <w:rsid w:val="007D09CE"/>
    <w:rsid w:val="007D1522"/>
    <w:rsid w:val="007D1F07"/>
    <w:rsid w:val="007D22F8"/>
    <w:rsid w:val="007D3431"/>
    <w:rsid w:val="007D3795"/>
    <w:rsid w:val="007E060F"/>
    <w:rsid w:val="007E1271"/>
    <w:rsid w:val="007E174B"/>
    <w:rsid w:val="007E3134"/>
    <w:rsid w:val="007E5DCB"/>
    <w:rsid w:val="007E69CA"/>
    <w:rsid w:val="007E6C0F"/>
    <w:rsid w:val="007E7ABF"/>
    <w:rsid w:val="007F1E79"/>
    <w:rsid w:val="007F305E"/>
    <w:rsid w:val="007F4C43"/>
    <w:rsid w:val="007F716B"/>
    <w:rsid w:val="007F7E32"/>
    <w:rsid w:val="008023F5"/>
    <w:rsid w:val="00803B73"/>
    <w:rsid w:val="00803C02"/>
    <w:rsid w:val="00804026"/>
    <w:rsid w:val="00810AB1"/>
    <w:rsid w:val="00811CA1"/>
    <w:rsid w:val="008142C4"/>
    <w:rsid w:val="00814516"/>
    <w:rsid w:val="00815DE7"/>
    <w:rsid w:val="00817C01"/>
    <w:rsid w:val="00820AC8"/>
    <w:rsid w:val="00821C1B"/>
    <w:rsid w:val="0082268C"/>
    <w:rsid w:val="008238AF"/>
    <w:rsid w:val="00824FAE"/>
    <w:rsid w:val="00832E7F"/>
    <w:rsid w:val="0083337C"/>
    <w:rsid w:val="0083399C"/>
    <w:rsid w:val="008339BA"/>
    <w:rsid w:val="00835117"/>
    <w:rsid w:val="00835D7A"/>
    <w:rsid w:val="008373B4"/>
    <w:rsid w:val="00837E69"/>
    <w:rsid w:val="00844F9C"/>
    <w:rsid w:val="008458CA"/>
    <w:rsid w:val="00846070"/>
    <w:rsid w:val="00846CF4"/>
    <w:rsid w:val="008515CD"/>
    <w:rsid w:val="008521CB"/>
    <w:rsid w:val="00854BC4"/>
    <w:rsid w:val="00855ABB"/>
    <w:rsid w:val="00855E52"/>
    <w:rsid w:val="008560F1"/>
    <w:rsid w:val="008561A4"/>
    <w:rsid w:val="0086237C"/>
    <w:rsid w:val="00867689"/>
    <w:rsid w:val="008708D2"/>
    <w:rsid w:val="00872074"/>
    <w:rsid w:val="0087213B"/>
    <w:rsid w:val="00881638"/>
    <w:rsid w:val="00887192"/>
    <w:rsid w:val="0088762B"/>
    <w:rsid w:val="008906B3"/>
    <w:rsid w:val="0089084A"/>
    <w:rsid w:val="008908BF"/>
    <w:rsid w:val="00893359"/>
    <w:rsid w:val="00894C6C"/>
    <w:rsid w:val="00897BC5"/>
    <w:rsid w:val="00897EB9"/>
    <w:rsid w:val="008A7B55"/>
    <w:rsid w:val="008A7F6B"/>
    <w:rsid w:val="008B20D2"/>
    <w:rsid w:val="008B3F75"/>
    <w:rsid w:val="008B3FC3"/>
    <w:rsid w:val="008B696F"/>
    <w:rsid w:val="008B6C9F"/>
    <w:rsid w:val="008C04D8"/>
    <w:rsid w:val="008C1001"/>
    <w:rsid w:val="008C15DC"/>
    <w:rsid w:val="008C1BF3"/>
    <w:rsid w:val="008C5555"/>
    <w:rsid w:val="008C783E"/>
    <w:rsid w:val="008D1D34"/>
    <w:rsid w:val="008D3100"/>
    <w:rsid w:val="008D46EF"/>
    <w:rsid w:val="008E2927"/>
    <w:rsid w:val="008E58CF"/>
    <w:rsid w:val="008E5ACF"/>
    <w:rsid w:val="008E7019"/>
    <w:rsid w:val="008F11AD"/>
    <w:rsid w:val="008F16CD"/>
    <w:rsid w:val="008F3680"/>
    <w:rsid w:val="008F3746"/>
    <w:rsid w:val="008F41E8"/>
    <w:rsid w:val="008F4FB7"/>
    <w:rsid w:val="008F7040"/>
    <w:rsid w:val="008F739B"/>
    <w:rsid w:val="0090272A"/>
    <w:rsid w:val="0090475B"/>
    <w:rsid w:val="00912694"/>
    <w:rsid w:val="00912D1A"/>
    <w:rsid w:val="00913E2F"/>
    <w:rsid w:val="00913EF2"/>
    <w:rsid w:val="00915DD2"/>
    <w:rsid w:val="00917CF2"/>
    <w:rsid w:val="00920E7A"/>
    <w:rsid w:val="0092101D"/>
    <w:rsid w:val="00923103"/>
    <w:rsid w:val="00923702"/>
    <w:rsid w:val="00924A70"/>
    <w:rsid w:val="0092568C"/>
    <w:rsid w:val="00925B5A"/>
    <w:rsid w:val="009301E1"/>
    <w:rsid w:val="0093390E"/>
    <w:rsid w:val="00933D9D"/>
    <w:rsid w:val="00935A83"/>
    <w:rsid w:val="0093620E"/>
    <w:rsid w:val="00936D8E"/>
    <w:rsid w:val="00942A60"/>
    <w:rsid w:val="009451A3"/>
    <w:rsid w:val="009468D8"/>
    <w:rsid w:val="00946D5A"/>
    <w:rsid w:val="0095473E"/>
    <w:rsid w:val="00955363"/>
    <w:rsid w:val="009554B0"/>
    <w:rsid w:val="009554C7"/>
    <w:rsid w:val="00956BAB"/>
    <w:rsid w:val="00956BB1"/>
    <w:rsid w:val="00960133"/>
    <w:rsid w:val="0096721E"/>
    <w:rsid w:val="009709DA"/>
    <w:rsid w:val="0097267F"/>
    <w:rsid w:val="009731AB"/>
    <w:rsid w:val="00975A9F"/>
    <w:rsid w:val="00976244"/>
    <w:rsid w:val="00976F07"/>
    <w:rsid w:val="009779CD"/>
    <w:rsid w:val="0098050E"/>
    <w:rsid w:val="00981593"/>
    <w:rsid w:val="009833BB"/>
    <w:rsid w:val="00983802"/>
    <w:rsid w:val="0098442C"/>
    <w:rsid w:val="00990727"/>
    <w:rsid w:val="00994D27"/>
    <w:rsid w:val="00995D42"/>
    <w:rsid w:val="00996052"/>
    <w:rsid w:val="00996BE1"/>
    <w:rsid w:val="00997FF4"/>
    <w:rsid w:val="009A5141"/>
    <w:rsid w:val="009A7021"/>
    <w:rsid w:val="009A795B"/>
    <w:rsid w:val="009B11D8"/>
    <w:rsid w:val="009B1EFC"/>
    <w:rsid w:val="009B23D0"/>
    <w:rsid w:val="009B2DA0"/>
    <w:rsid w:val="009B321D"/>
    <w:rsid w:val="009B37D8"/>
    <w:rsid w:val="009B4DC4"/>
    <w:rsid w:val="009B5168"/>
    <w:rsid w:val="009B6DF4"/>
    <w:rsid w:val="009C04AF"/>
    <w:rsid w:val="009C0580"/>
    <w:rsid w:val="009C0961"/>
    <w:rsid w:val="009C2E6F"/>
    <w:rsid w:val="009C3432"/>
    <w:rsid w:val="009C3D6D"/>
    <w:rsid w:val="009C553E"/>
    <w:rsid w:val="009C5A32"/>
    <w:rsid w:val="009C7087"/>
    <w:rsid w:val="009D0971"/>
    <w:rsid w:val="009D13C4"/>
    <w:rsid w:val="009D1884"/>
    <w:rsid w:val="009D21B3"/>
    <w:rsid w:val="009D22DA"/>
    <w:rsid w:val="009D33F7"/>
    <w:rsid w:val="009D4ADC"/>
    <w:rsid w:val="009D5B7A"/>
    <w:rsid w:val="009D643F"/>
    <w:rsid w:val="009D7483"/>
    <w:rsid w:val="009D7BF4"/>
    <w:rsid w:val="009E005A"/>
    <w:rsid w:val="009E1114"/>
    <w:rsid w:val="009E2BF1"/>
    <w:rsid w:val="009E2DF6"/>
    <w:rsid w:val="009E48B7"/>
    <w:rsid w:val="009E4CDE"/>
    <w:rsid w:val="009E6882"/>
    <w:rsid w:val="009E7A1D"/>
    <w:rsid w:val="009F385C"/>
    <w:rsid w:val="009F399F"/>
    <w:rsid w:val="009F58F1"/>
    <w:rsid w:val="009F7BB7"/>
    <w:rsid w:val="00A020AE"/>
    <w:rsid w:val="00A0741E"/>
    <w:rsid w:val="00A11CCD"/>
    <w:rsid w:val="00A12E61"/>
    <w:rsid w:val="00A14285"/>
    <w:rsid w:val="00A16AB1"/>
    <w:rsid w:val="00A17350"/>
    <w:rsid w:val="00A17B9C"/>
    <w:rsid w:val="00A17BBC"/>
    <w:rsid w:val="00A23B4A"/>
    <w:rsid w:val="00A277BE"/>
    <w:rsid w:val="00A27D0C"/>
    <w:rsid w:val="00A319DF"/>
    <w:rsid w:val="00A3231E"/>
    <w:rsid w:val="00A32706"/>
    <w:rsid w:val="00A32CCA"/>
    <w:rsid w:val="00A3319C"/>
    <w:rsid w:val="00A36936"/>
    <w:rsid w:val="00A37D53"/>
    <w:rsid w:val="00A4079C"/>
    <w:rsid w:val="00A407C2"/>
    <w:rsid w:val="00A427D7"/>
    <w:rsid w:val="00A47420"/>
    <w:rsid w:val="00A55524"/>
    <w:rsid w:val="00A559F7"/>
    <w:rsid w:val="00A56CD6"/>
    <w:rsid w:val="00A57329"/>
    <w:rsid w:val="00A6028A"/>
    <w:rsid w:val="00A6090E"/>
    <w:rsid w:val="00A62276"/>
    <w:rsid w:val="00A62846"/>
    <w:rsid w:val="00A63751"/>
    <w:rsid w:val="00A657C5"/>
    <w:rsid w:val="00A67FE0"/>
    <w:rsid w:val="00A72CB5"/>
    <w:rsid w:val="00A756CB"/>
    <w:rsid w:val="00A76810"/>
    <w:rsid w:val="00A77140"/>
    <w:rsid w:val="00A80621"/>
    <w:rsid w:val="00A84D7B"/>
    <w:rsid w:val="00A86FF1"/>
    <w:rsid w:val="00A87B2A"/>
    <w:rsid w:val="00A90FD3"/>
    <w:rsid w:val="00A9260B"/>
    <w:rsid w:val="00A92A3D"/>
    <w:rsid w:val="00A92B8A"/>
    <w:rsid w:val="00A9409F"/>
    <w:rsid w:val="00A94B8C"/>
    <w:rsid w:val="00AA133D"/>
    <w:rsid w:val="00AA1825"/>
    <w:rsid w:val="00AA4575"/>
    <w:rsid w:val="00AA6B38"/>
    <w:rsid w:val="00AB0F9E"/>
    <w:rsid w:val="00AB2554"/>
    <w:rsid w:val="00AD043E"/>
    <w:rsid w:val="00AD114A"/>
    <w:rsid w:val="00AD41DE"/>
    <w:rsid w:val="00AD55B4"/>
    <w:rsid w:val="00AD59CE"/>
    <w:rsid w:val="00AE0765"/>
    <w:rsid w:val="00AE2223"/>
    <w:rsid w:val="00AE4205"/>
    <w:rsid w:val="00AE4697"/>
    <w:rsid w:val="00AE4A52"/>
    <w:rsid w:val="00AE693F"/>
    <w:rsid w:val="00AE6AF4"/>
    <w:rsid w:val="00AE71A4"/>
    <w:rsid w:val="00AE7CA9"/>
    <w:rsid w:val="00AE7D3E"/>
    <w:rsid w:val="00AF156C"/>
    <w:rsid w:val="00AF163E"/>
    <w:rsid w:val="00AF1FA2"/>
    <w:rsid w:val="00AF27FD"/>
    <w:rsid w:val="00AF34F1"/>
    <w:rsid w:val="00AF35AC"/>
    <w:rsid w:val="00AF65D9"/>
    <w:rsid w:val="00AF7E3F"/>
    <w:rsid w:val="00B00E33"/>
    <w:rsid w:val="00B0607D"/>
    <w:rsid w:val="00B06853"/>
    <w:rsid w:val="00B14BCD"/>
    <w:rsid w:val="00B16985"/>
    <w:rsid w:val="00B176DC"/>
    <w:rsid w:val="00B200A8"/>
    <w:rsid w:val="00B205B7"/>
    <w:rsid w:val="00B20E6C"/>
    <w:rsid w:val="00B21DE9"/>
    <w:rsid w:val="00B22C91"/>
    <w:rsid w:val="00B2351B"/>
    <w:rsid w:val="00B2410E"/>
    <w:rsid w:val="00B24A49"/>
    <w:rsid w:val="00B25BDA"/>
    <w:rsid w:val="00B26AAC"/>
    <w:rsid w:val="00B26B95"/>
    <w:rsid w:val="00B30591"/>
    <w:rsid w:val="00B32C99"/>
    <w:rsid w:val="00B41340"/>
    <w:rsid w:val="00B430AA"/>
    <w:rsid w:val="00B44941"/>
    <w:rsid w:val="00B45E11"/>
    <w:rsid w:val="00B46856"/>
    <w:rsid w:val="00B50019"/>
    <w:rsid w:val="00B50E8B"/>
    <w:rsid w:val="00B519C0"/>
    <w:rsid w:val="00B51AFD"/>
    <w:rsid w:val="00B52FB3"/>
    <w:rsid w:val="00B534D5"/>
    <w:rsid w:val="00B54312"/>
    <w:rsid w:val="00B550BE"/>
    <w:rsid w:val="00B62E77"/>
    <w:rsid w:val="00B64221"/>
    <w:rsid w:val="00B67D35"/>
    <w:rsid w:val="00B71417"/>
    <w:rsid w:val="00B720B9"/>
    <w:rsid w:val="00B73A9A"/>
    <w:rsid w:val="00B75B2F"/>
    <w:rsid w:val="00B761FD"/>
    <w:rsid w:val="00B77E75"/>
    <w:rsid w:val="00B8150F"/>
    <w:rsid w:val="00B81F81"/>
    <w:rsid w:val="00B847F6"/>
    <w:rsid w:val="00B84F8F"/>
    <w:rsid w:val="00B85D38"/>
    <w:rsid w:val="00B86837"/>
    <w:rsid w:val="00B90718"/>
    <w:rsid w:val="00B910BC"/>
    <w:rsid w:val="00B93FC4"/>
    <w:rsid w:val="00B94F47"/>
    <w:rsid w:val="00B95B6C"/>
    <w:rsid w:val="00B95E75"/>
    <w:rsid w:val="00B9785F"/>
    <w:rsid w:val="00BA1A16"/>
    <w:rsid w:val="00BA2A00"/>
    <w:rsid w:val="00BA2B3A"/>
    <w:rsid w:val="00BA2C8E"/>
    <w:rsid w:val="00BA39F1"/>
    <w:rsid w:val="00BA43A6"/>
    <w:rsid w:val="00BA6B0F"/>
    <w:rsid w:val="00BB02BA"/>
    <w:rsid w:val="00BB2D5E"/>
    <w:rsid w:val="00BB3B32"/>
    <w:rsid w:val="00BB717A"/>
    <w:rsid w:val="00BC1451"/>
    <w:rsid w:val="00BC1AE9"/>
    <w:rsid w:val="00BC1B5A"/>
    <w:rsid w:val="00BC20DB"/>
    <w:rsid w:val="00BC2698"/>
    <w:rsid w:val="00BC5D9F"/>
    <w:rsid w:val="00BC6548"/>
    <w:rsid w:val="00BC76B6"/>
    <w:rsid w:val="00BD07E3"/>
    <w:rsid w:val="00BD10A2"/>
    <w:rsid w:val="00BD2E66"/>
    <w:rsid w:val="00BD391F"/>
    <w:rsid w:val="00BD41A9"/>
    <w:rsid w:val="00BD487B"/>
    <w:rsid w:val="00BD4D34"/>
    <w:rsid w:val="00BD67DE"/>
    <w:rsid w:val="00BE0150"/>
    <w:rsid w:val="00BE1DF5"/>
    <w:rsid w:val="00BE2D38"/>
    <w:rsid w:val="00BE4BEE"/>
    <w:rsid w:val="00BE4CA2"/>
    <w:rsid w:val="00BE4EA9"/>
    <w:rsid w:val="00BE61F5"/>
    <w:rsid w:val="00BE6369"/>
    <w:rsid w:val="00BE6A46"/>
    <w:rsid w:val="00BE731C"/>
    <w:rsid w:val="00BF1EE7"/>
    <w:rsid w:val="00BF27A5"/>
    <w:rsid w:val="00BF3C2E"/>
    <w:rsid w:val="00BF52EA"/>
    <w:rsid w:val="00BF5EE2"/>
    <w:rsid w:val="00BF7F6D"/>
    <w:rsid w:val="00C043D9"/>
    <w:rsid w:val="00C044BD"/>
    <w:rsid w:val="00C06BAB"/>
    <w:rsid w:val="00C132BF"/>
    <w:rsid w:val="00C154C8"/>
    <w:rsid w:val="00C155E6"/>
    <w:rsid w:val="00C15CA2"/>
    <w:rsid w:val="00C15CE5"/>
    <w:rsid w:val="00C15F3C"/>
    <w:rsid w:val="00C172D0"/>
    <w:rsid w:val="00C176F0"/>
    <w:rsid w:val="00C17FAC"/>
    <w:rsid w:val="00C20505"/>
    <w:rsid w:val="00C213F2"/>
    <w:rsid w:val="00C2141B"/>
    <w:rsid w:val="00C2424F"/>
    <w:rsid w:val="00C2605A"/>
    <w:rsid w:val="00C26886"/>
    <w:rsid w:val="00C30DE4"/>
    <w:rsid w:val="00C3235D"/>
    <w:rsid w:val="00C3271F"/>
    <w:rsid w:val="00C350C1"/>
    <w:rsid w:val="00C37956"/>
    <w:rsid w:val="00C40BFD"/>
    <w:rsid w:val="00C4180A"/>
    <w:rsid w:val="00C43B0E"/>
    <w:rsid w:val="00C44FF5"/>
    <w:rsid w:val="00C45A83"/>
    <w:rsid w:val="00C47037"/>
    <w:rsid w:val="00C47635"/>
    <w:rsid w:val="00C47B07"/>
    <w:rsid w:val="00C513F4"/>
    <w:rsid w:val="00C529B0"/>
    <w:rsid w:val="00C5347A"/>
    <w:rsid w:val="00C539B9"/>
    <w:rsid w:val="00C544B2"/>
    <w:rsid w:val="00C567E7"/>
    <w:rsid w:val="00C578C5"/>
    <w:rsid w:val="00C57F9D"/>
    <w:rsid w:val="00C61EFE"/>
    <w:rsid w:val="00C623FE"/>
    <w:rsid w:val="00C63F4B"/>
    <w:rsid w:val="00C65E5B"/>
    <w:rsid w:val="00C66CC6"/>
    <w:rsid w:val="00C66D9E"/>
    <w:rsid w:val="00C721F3"/>
    <w:rsid w:val="00C725FC"/>
    <w:rsid w:val="00C84319"/>
    <w:rsid w:val="00C85571"/>
    <w:rsid w:val="00C907B6"/>
    <w:rsid w:val="00C90F23"/>
    <w:rsid w:val="00C91793"/>
    <w:rsid w:val="00C91A94"/>
    <w:rsid w:val="00C92290"/>
    <w:rsid w:val="00C9400F"/>
    <w:rsid w:val="00C96C84"/>
    <w:rsid w:val="00C97BCA"/>
    <w:rsid w:val="00C97C8A"/>
    <w:rsid w:val="00CA125B"/>
    <w:rsid w:val="00CA12A9"/>
    <w:rsid w:val="00CA6455"/>
    <w:rsid w:val="00CA70A0"/>
    <w:rsid w:val="00CA7266"/>
    <w:rsid w:val="00CA7B9E"/>
    <w:rsid w:val="00CB1835"/>
    <w:rsid w:val="00CB1887"/>
    <w:rsid w:val="00CB2F25"/>
    <w:rsid w:val="00CB6093"/>
    <w:rsid w:val="00CB6BD3"/>
    <w:rsid w:val="00CC01DE"/>
    <w:rsid w:val="00CC13DE"/>
    <w:rsid w:val="00CC648F"/>
    <w:rsid w:val="00CD0CA1"/>
    <w:rsid w:val="00CD1B1D"/>
    <w:rsid w:val="00CD611E"/>
    <w:rsid w:val="00CD707B"/>
    <w:rsid w:val="00CE433D"/>
    <w:rsid w:val="00CE79C1"/>
    <w:rsid w:val="00CE7BBB"/>
    <w:rsid w:val="00CF0919"/>
    <w:rsid w:val="00CF3B09"/>
    <w:rsid w:val="00CF420E"/>
    <w:rsid w:val="00CF54E8"/>
    <w:rsid w:val="00CF5E34"/>
    <w:rsid w:val="00CF6714"/>
    <w:rsid w:val="00CF728E"/>
    <w:rsid w:val="00CF786B"/>
    <w:rsid w:val="00D02F68"/>
    <w:rsid w:val="00D04344"/>
    <w:rsid w:val="00D045AB"/>
    <w:rsid w:val="00D055DB"/>
    <w:rsid w:val="00D0631A"/>
    <w:rsid w:val="00D06F50"/>
    <w:rsid w:val="00D15B58"/>
    <w:rsid w:val="00D15F55"/>
    <w:rsid w:val="00D16246"/>
    <w:rsid w:val="00D173CD"/>
    <w:rsid w:val="00D20FAA"/>
    <w:rsid w:val="00D216CE"/>
    <w:rsid w:val="00D231A4"/>
    <w:rsid w:val="00D27519"/>
    <w:rsid w:val="00D30A5B"/>
    <w:rsid w:val="00D31C1C"/>
    <w:rsid w:val="00D3220B"/>
    <w:rsid w:val="00D33D9A"/>
    <w:rsid w:val="00D33DAB"/>
    <w:rsid w:val="00D34135"/>
    <w:rsid w:val="00D3422D"/>
    <w:rsid w:val="00D353D0"/>
    <w:rsid w:val="00D37557"/>
    <w:rsid w:val="00D42F8C"/>
    <w:rsid w:val="00D450D8"/>
    <w:rsid w:val="00D510AD"/>
    <w:rsid w:val="00D52CAC"/>
    <w:rsid w:val="00D52D82"/>
    <w:rsid w:val="00D52DD3"/>
    <w:rsid w:val="00D5319F"/>
    <w:rsid w:val="00D53872"/>
    <w:rsid w:val="00D54211"/>
    <w:rsid w:val="00D55B15"/>
    <w:rsid w:val="00D56D4B"/>
    <w:rsid w:val="00D572BB"/>
    <w:rsid w:val="00D57428"/>
    <w:rsid w:val="00D618C4"/>
    <w:rsid w:val="00D61EAB"/>
    <w:rsid w:val="00D658C8"/>
    <w:rsid w:val="00D65BA4"/>
    <w:rsid w:val="00D669A8"/>
    <w:rsid w:val="00D72308"/>
    <w:rsid w:val="00D73580"/>
    <w:rsid w:val="00D73E78"/>
    <w:rsid w:val="00D74375"/>
    <w:rsid w:val="00D7485A"/>
    <w:rsid w:val="00D7585C"/>
    <w:rsid w:val="00D7651D"/>
    <w:rsid w:val="00D76F03"/>
    <w:rsid w:val="00D8070E"/>
    <w:rsid w:val="00D86059"/>
    <w:rsid w:val="00D86B9C"/>
    <w:rsid w:val="00D87854"/>
    <w:rsid w:val="00D92219"/>
    <w:rsid w:val="00D93B21"/>
    <w:rsid w:val="00D95FE7"/>
    <w:rsid w:val="00D968AE"/>
    <w:rsid w:val="00DA1085"/>
    <w:rsid w:val="00DA1C96"/>
    <w:rsid w:val="00DA2B6A"/>
    <w:rsid w:val="00DA3116"/>
    <w:rsid w:val="00DA3D45"/>
    <w:rsid w:val="00DA6D51"/>
    <w:rsid w:val="00DA731A"/>
    <w:rsid w:val="00DA7CE3"/>
    <w:rsid w:val="00DB3A2F"/>
    <w:rsid w:val="00DB65E6"/>
    <w:rsid w:val="00DB6C68"/>
    <w:rsid w:val="00DC0459"/>
    <w:rsid w:val="00DC333E"/>
    <w:rsid w:val="00DC63BF"/>
    <w:rsid w:val="00DD016F"/>
    <w:rsid w:val="00DD089E"/>
    <w:rsid w:val="00DD1C3E"/>
    <w:rsid w:val="00DD2323"/>
    <w:rsid w:val="00DD4BB9"/>
    <w:rsid w:val="00DD72D6"/>
    <w:rsid w:val="00DD7461"/>
    <w:rsid w:val="00DD74B1"/>
    <w:rsid w:val="00DE065E"/>
    <w:rsid w:val="00DE06B5"/>
    <w:rsid w:val="00DE0B0D"/>
    <w:rsid w:val="00DE0F30"/>
    <w:rsid w:val="00DE19FE"/>
    <w:rsid w:val="00DE52D6"/>
    <w:rsid w:val="00DE5506"/>
    <w:rsid w:val="00DE5C25"/>
    <w:rsid w:val="00DE64AA"/>
    <w:rsid w:val="00DE76CF"/>
    <w:rsid w:val="00DE79BE"/>
    <w:rsid w:val="00DF04B2"/>
    <w:rsid w:val="00DF1ACE"/>
    <w:rsid w:val="00DF1BA9"/>
    <w:rsid w:val="00DF22EE"/>
    <w:rsid w:val="00DF32C3"/>
    <w:rsid w:val="00DF4F0E"/>
    <w:rsid w:val="00DF5619"/>
    <w:rsid w:val="00DF6374"/>
    <w:rsid w:val="00DF779D"/>
    <w:rsid w:val="00E027F7"/>
    <w:rsid w:val="00E02E12"/>
    <w:rsid w:val="00E05781"/>
    <w:rsid w:val="00E10037"/>
    <w:rsid w:val="00E113CF"/>
    <w:rsid w:val="00E13D8A"/>
    <w:rsid w:val="00E13EC7"/>
    <w:rsid w:val="00E1434E"/>
    <w:rsid w:val="00E148B4"/>
    <w:rsid w:val="00E14979"/>
    <w:rsid w:val="00E14B98"/>
    <w:rsid w:val="00E17C7F"/>
    <w:rsid w:val="00E213A0"/>
    <w:rsid w:val="00E25093"/>
    <w:rsid w:val="00E25EFD"/>
    <w:rsid w:val="00E27671"/>
    <w:rsid w:val="00E31660"/>
    <w:rsid w:val="00E32BE2"/>
    <w:rsid w:val="00E349A2"/>
    <w:rsid w:val="00E37805"/>
    <w:rsid w:val="00E41D51"/>
    <w:rsid w:val="00E42E54"/>
    <w:rsid w:val="00E43057"/>
    <w:rsid w:val="00E46804"/>
    <w:rsid w:val="00E46998"/>
    <w:rsid w:val="00E46E23"/>
    <w:rsid w:val="00E50AB2"/>
    <w:rsid w:val="00E516B9"/>
    <w:rsid w:val="00E56F54"/>
    <w:rsid w:val="00E60386"/>
    <w:rsid w:val="00E61457"/>
    <w:rsid w:val="00E6271F"/>
    <w:rsid w:val="00E66F3C"/>
    <w:rsid w:val="00E72149"/>
    <w:rsid w:val="00E73579"/>
    <w:rsid w:val="00E73748"/>
    <w:rsid w:val="00E7540A"/>
    <w:rsid w:val="00E76171"/>
    <w:rsid w:val="00E76F78"/>
    <w:rsid w:val="00E7748C"/>
    <w:rsid w:val="00E80A64"/>
    <w:rsid w:val="00E81815"/>
    <w:rsid w:val="00E8235F"/>
    <w:rsid w:val="00E8240D"/>
    <w:rsid w:val="00E8526D"/>
    <w:rsid w:val="00E854A0"/>
    <w:rsid w:val="00E86865"/>
    <w:rsid w:val="00E86DBC"/>
    <w:rsid w:val="00E874BE"/>
    <w:rsid w:val="00E91337"/>
    <w:rsid w:val="00E92C2F"/>
    <w:rsid w:val="00E945B6"/>
    <w:rsid w:val="00E9466E"/>
    <w:rsid w:val="00E9634B"/>
    <w:rsid w:val="00E97D47"/>
    <w:rsid w:val="00EA2383"/>
    <w:rsid w:val="00EA344F"/>
    <w:rsid w:val="00EA3C5D"/>
    <w:rsid w:val="00EA4FE2"/>
    <w:rsid w:val="00EA75A0"/>
    <w:rsid w:val="00EB38D0"/>
    <w:rsid w:val="00EB408E"/>
    <w:rsid w:val="00EB542F"/>
    <w:rsid w:val="00EB55B9"/>
    <w:rsid w:val="00EB599E"/>
    <w:rsid w:val="00EB687C"/>
    <w:rsid w:val="00EB6970"/>
    <w:rsid w:val="00EB7847"/>
    <w:rsid w:val="00EC02BD"/>
    <w:rsid w:val="00EC2AC6"/>
    <w:rsid w:val="00EC5D22"/>
    <w:rsid w:val="00EC73DC"/>
    <w:rsid w:val="00EC7BE9"/>
    <w:rsid w:val="00ED1C51"/>
    <w:rsid w:val="00ED3A2F"/>
    <w:rsid w:val="00ED47C5"/>
    <w:rsid w:val="00ED4D0F"/>
    <w:rsid w:val="00ED597C"/>
    <w:rsid w:val="00ED5A81"/>
    <w:rsid w:val="00ED6DF9"/>
    <w:rsid w:val="00EE3019"/>
    <w:rsid w:val="00EE53F5"/>
    <w:rsid w:val="00EE55F5"/>
    <w:rsid w:val="00EE6B08"/>
    <w:rsid w:val="00EE6B53"/>
    <w:rsid w:val="00EE6BDE"/>
    <w:rsid w:val="00EE7020"/>
    <w:rsid w:val="00EE7A88"/>
    <w:rsid w:val="00EE7CBC"/>
    <w:rsid w:val="00EF0476"/>
    <w:rsid w:val="00EF1221"/>
    <w:rsid w:val="00EF125E"/>
    <w:rsid w:val="00EF4FBF"/>
    <w:rsid w:val="00EF6AEA"/>
    <w:rsid w:val="00F02162"/>
    <w:rsid w:val="00F02C85"/>
    <w:rsid w:val="00F034F6"/>
    <w:rsid w:val="00F04966"/>
    <w:rsid w:val="00F056E3"/>
    <w:rsid w:val="00F12BE1"/>
    <w:rsid w:val="00F16319"/>
    <w:rsid w:val="00F213B8"/>
    <w:rsid w:val="00F21BFD"/>
    <w:rsid w:val="00F21C6E"/>
    <w:rsid w:val="00F21D49"/>
    <w:rsid w:val="00F25C4F"/>
    <w:rsid w:val="00F25F07"/>
    <w:rsid w:val="00F3090D"/>
    <w:rsid w:val="00F328C8"/>
    <w:rsid w:val="00F33CAE"/>
    <w:rsid w:val="00F35AAE"/>
    <w:rsid w:val="00F362E9"/>
    <w:rsid w:val="00F36E81"/>
    <w:rsid w:val="00F374AD"/>
    <w:rsid w:val="00F451A8"/>
    <w:rsid w:val="00F53A8B"/>
    <w:rsid w:val="00F5548F"/>
    <w:rsid w:val="00F5578C"/>
    <w:rsid w:val="00F55BE5"/>
    <w:rsid w:val="00F57DCC"/>
    <w:rsid w:val="00F61240"/>
    <w:rsid w:val="00F61ECA"/>
    <w:rsid w:val="00F63479"/>
    <w:rsid w:val="00F646BC"/>
    <w:rsid w:val="00F666B4"/>
    <w:rsid w:val="00F66A79"/>
    <w:rsid w:val="00F67055"/>
    <w:rsid w:val="00F72E40"/>
    <w:rsid w:val="00F76E6C"/>
    <w:rsid w:val="00F77BA6"/>
    <w:rsid w:val="00F80474"/>
    <w:rsid w:val="00F80AB6"/>
    <w:rsid w:val="00F8435A"/>
    <w:rsid w:val="00F8591F"/>
    <w:rsid w:val="00F85B61"/>
    <w:rsid w:val="00F85CBD"/>
    <w:rsid w:val="00F939CF"/>
    <w:rsid w:val="00F947BF"/>
    <w:rsid w:val="00F96247"/>
    <w:rsid w:val="00F965E3"/>
    <w:rsid w:val="00F970B1"/>
    <w:rsid w:val="00FA01C3"/>
    <w:rsid w:val="00FA2E31"/>
    <w:rsid w:val="00FA4EE5"/>
    <w:rsid w:val="00FA672F"/>
    <w:rsid w:val="00FB5406"/>
    <w:rsid w:val="00FB635C"/>
    <w:rsid w:val="00FB6E02"/>
    <w:rsid w:val="00FC1738"/>
    <w:rsid w:val="00FC3987"/>
    <w:rsid w:val="00FC48F6"/>
    <w:rsid w:val="00FC5202"/>
    <w:rsid w:val="00FC721A"/>
    <w:rsid w:val="00FC77C0"/>
    <w:rsid w:val="00FD0463"/>
    <w:rsid w:val="00FD3793"/>
    <w:rsid w:val="00FD496D"/>
    <w:rsid w:val="00FD53BF"/>
    <w:rsid w:val="00FD6DFB"/>
    <w:rsid w:val="00FD6E38"/>
    <w:rsid w:val="00FD775E"/>
    <w:rsid w:val="00FE0630"/>
    <w:rsid w:val="00FE2EED"/>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87615">
      <w:bodyDiv w:val="1"/>
      <w:marLeft w:val="0"/>
      <w:marRight w:val="0"/>
      <w:marTop w:val="0"/>
      <w:marBottom w:val="0"/>
      <w:divBdr>
        <w:top w:val="none" w:sz="0" w:space="0" w:color="auto"/>
        <w:left w:val="none" w:sz="0" w:space="0" w:color="auto"/>
        <w:bottom w:val="none" w:sz="0" w:space="0" w:color="auto"/>
        <w:right w:val="none" w:sz="0" w:space="0" w:color="auto"/>
      </w:divBdr>
    </w:div>
    <w:div w:id="194663307">
      <w:bodyDiv w:val="1"/>
      <w:marLeft w:val="0"/>
      <w:marRight w:val="0"/>
      <w:marTop w:val="0"/>
      <w:marBottom w:val="0"/>
      <w:divBdr>
        <w:top w:val="none" w:sz="0" w:space="0" w:color="auto"/>
        <w:left w:val="none" w:sz="0" w:space="0" w:color="auto"/>
        <w:bottom w:val="none" w:sz="0" w:space="0" w:color="auto"/>
        <w:right w:val="none" w:sz="0" w:space="0" w:color="auto"/>
      </w:divBdr>
    </w:div>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303393113">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843587495">
      <w:bodyDiv w:val="1"/>
      <w:marLeft w:val="0"/>
      <w:marRight w:val="0"/>
      <w:marTop w:val="0"/>
      <w:marBottom w:val="0"/>
      <w:divBdr>
        <w:top w:val="none" w:sz="0" w:space="0" w:color="auto"/>
        <w:left w:val="none" w:sz="0" w:space="0" w:color="auto"/>
        <w:bottom w:val="none" w:sz="0" w:space="0" w:color="auto"/>
        <w:right w:val="none" w:sz="0" w:space="0" w:color="auto"/>
      </w:divBdr>
    </w:div>
    <w:div w:id="976297802">
      <w:bodyDiv w:val="1"/>
      <w:marLeft w:val="0"/>
      <w:marRight w:val="0"/>
      <w:marTop w:val="0"/>
      <w:marBottom w:val="0"/>
      <w:divBdr>
        <w:top w:val="none" w:sz="0" w:space="0" w:color="auto"/>
        <w:left w:val="none" w:sz="0" w:space="0" w:color="auto"/>
        <w:bottom w:val="none" w:sz="0" w:space="0" w:color="auto"/>
        <w:right w:val="none" w:sz="0" w:space="0" w:color="auto"/>
      </w:divBdr>
    </w:div>
    <w:div w:id="1155223445">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B5B6-C64D-4818-9BDD-0B97E9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Pages>
  <Words>1515</Words>
  <Characters>7940</Characters>
  <Application>Microsoft Office Word</Application>
  <DocSecurity>0</DocSecurity>
  <PresentationFormat>15|.DOCX</PresentationFormat>
  <Lines>298</Lines>
  <Paragraphs>170</Paragraphs>
  <ScaleCrop>false</ScaleCrop>
  <HeadingPairs>
    <vt:vector size="2" baseType="variant">
      <vt:variant>
        <vt:lpstr>Title</vt:lpstr>
      </vt:variant>
      <vt:variant>
        <vt:i4>1</vt:i4>
      </vt:variant>
    </vt:vector>
  </HeadingPairs>
  <TitlesOfParts>
    <vt:vector size="1" baseType="lpstr">
      <vt:lpstr>Meeting Minutes August 2021  (01995357.DOCX:2)</vt:lpstr>
    </vt:vector>
  </TitlesOfParts>
  <Company>Microsoft</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August 2021  (01995357.DOCX:2)</dc:title>
  <dc:subject>01995357/2/font=6</dc:subject>
  <dc:creator>Cindy</dc:creator>
  <cp:lastModifiedBy>Cindy Bosley</cp:lastModifiedBy>
  <cp:revision>20</cp:revision>
  <cp:lastPrinted>2026-01-06T18:41:00Z</cp:lastPrinted>
  <dcterms:created xsi:type="dcterms:W3CDTF">2025-01-21T15:52:00Z</dcterms:created>
  <dcterms:modified xsi:type="dcterms:W3CDTF">2026-01-06T18:42:00Z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2026-01-06T18:42:00Z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99dad28f-dd6b-4e7f-9970-84bd648d7a4e</vt:lpwstr>
  </property>
  <property fmtid="{D5CDD505-2E9C-101B-9397-08002B2CF9AE}" pid="7" name="MSIP_Label_defa4170-0d19-0005-0004-bc88714345d2_ActionId">
    <vt:lpwstr>35d53938-1f95-4c67-9151-573d4ba3109b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